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69172f4844b6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S4605.1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19 of this act takes effect only when the federal government does not provide railroad employees with 12 workweeks of leave during any 12-month period."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"RCW;" strike the remainder of the title and insert "prescribing penalties; and providing a contingent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section 19 of the act does not take effect if the federal government provides railroad employees with 12 workweeks of leave during any 12-month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62c7a1b934091" /></Relationships>
</file>