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ac1a9f3e99402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5065-S2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S4599.1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5065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after line 6,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28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 13 of this act takes effect only when the federal government does not provide railroad employees with 12 workweeks of leave during any 12-month period."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2SSB 5065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"RCW;" strike the remainder of the title and insert "prescribing penalties; and providing a contingent effective date."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section 13 of the act does not take effect if the federal government provides railroad employees with 12 workweeks of leave during any 12-month period.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063702cebd4346" /></Relationships>
</file>