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7c1b0d41c4f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</w:t>
      </w:r>
      <w:r>
        <w:rPr>
          <w:u w:val="single"/>
        </w:rPr>
        <w:t xml:space="preserve">state.</w:t>
      </w:r>
      <w:r>
        <w:rPr/>
        <w:t xml:space="preserve">" insert "</w:t>
      </w:r>
      <w:r>
        <w:rPr>
          <w:u w:val="single"/>
        </w:rPr>
        <w:t xml:space="preserve">"Distribute" does not include transfers of large capacity magazines between individuals when one of the individuals transferring the large capacity magazine operates a firearms training instructor business in coordination with a shooting range or facility.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of "distribute" to exclude transfers where one individual operates a firearms training instructor business in coordination with a shooting range or facility.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15203bc4547e5" /></Relationships>
</file>