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5a96de3dc44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S2464.2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04/01/2021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70, line 31,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$51,000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73,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$51,000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2022 is provided solely for the department's building code council for implementation of chapter 88, Laws of 2020."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491,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994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2020 c 88 s 8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takes effect July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04/01/2021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 of the title, after "1," insert "2020 c 88 s 8,"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 of the title, after "appropriations;" insert "providing an effective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to the Building Code Council to implement provisions of chapter 88, Laws of 2020, and amends the effective date from July 1, 2021, to July 1, 2022.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$51,000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State/$51,000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$51,000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4230560424978" /></Relationships>
</file>