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c6d4ecbe74e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S2430.1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28, line 34,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Department of Ecology's authority to adopt criteria for determining whether an entity is an emissions-intensive, trade-exposed entity.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10cc10bb6416e" /></Relationships>
</file>