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3926bdf6247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S1998.1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15, after "(3)" strike all material through "</w:t>
      </w:r>
      <w:r>
        <w:rPr>
          <w:strike/>
        </w:rPr>
        <w:t xml:space="preserve">(4)</w:t>
      </w:r>
      <w:r>
        <w:t>))</w:t>
      </w:r>
      <w:r>
        <w:rPr/>
        <w:t xml:space="preserve">" on line 26 and insert "For the purpose of enforcing the provisions of this chapter and RCW 26.28.080</w:t>
      </w: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and 82.24.500, a peace officer or enforcement officer of the </w:t>
      </w:r>
      <w:r>
        <w:t>((</w:t>
      </w:r>
      <w:r>
        <w:rPr>
          <w:strike/>
        </w:rPr>
        <w:t xml:space="preserve">liquor control</w:t>
      </w:r>
      <w:r>
        <w:t>))</w:t>
      </w:r>
      <w:r>
        <w:rPr/>
        <w:t xml:space="preserve"> board who has reasonable grounds to believe a person observed by the officer purchasing, attempting to purchase, or in possession of tobacco products is under the age of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years of age, may detain such person for a reasonable period of time and in such a reasonable manner as is necessary to determine the person's true identity and date of birth. Further, tobacco products possessed by persons under the age of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years of age are considered contraband and may be seized by a peace officer or enforcement officer of the </w:t>
      </w:r>
      <w:r>
        <w:t>((</w:t>
      </w:r>
      <w:r>
        <w:rPr>
          <w:strike/>
        </w:rPr>
        <w:t xml:space="preserve">liquor control</w:t>
      </w:r>
      <w:r>
        <w:t>))</w:t>
      </w:r>
      <w:r>
        <w:rPr/>
        <w:t xml:space="preserve">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1, after "(3)" strike all material through "</w:t>
      </w:r>
      <w:r>
        <w:rPr>
          <w:strike/>
        </w:rPr>
        <w:t xml:space="preserve">(4)</w:t>
      </w:r>
      <w:r>
        <w:t>))</w:t>
      </w:r>
      <w:r>
        <w:rPr/>
        <w:t xml:space="preserve">" on line 11 and insert "For the purpose of enforcing the provisions of this chapter, a peace officer or enforcement officer of the board who has reasonable grounds to believe a person observed by the officer purchasing, attempting to purchase, or in possession of vapor products is under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years of age, may detain such person for a reasonable period of time and in such a reasonable manner as is necessary to determine the person's true identity and date of birth. Further, vapor products possessed by persons under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years of age are considered contraband and may be seized by a peace officer or enforcement officer of the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strike "</w:t>
      </w: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" and insert "(5)"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strike "</w:t>
      </w: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" and insert "(6)"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strike "</w:t>
      </w: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" and insert "(5)"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Retains current law regarding detaining minors and seizing contraband as it relates to tobacco products and vapor 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508dbf82e4d9c" /></Relationships>
</file>