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3e0e6b4f2436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S3748.1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9,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allowing an employee to enforce the personnel file and discharge information requirements through a private cause of action, including equitable relief, statutory damages, and attorney fees and costs.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7904601ee4db6" /></Relationships>
</file>