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d3ece89914845" /></Relationships>
</file>

<file path=word/document.xml><?xml version="1.0" encoding="utf-8"?>
<w:document xmlns:w="http://schemas.openxmlformats.org/wordprocessingml/2006/main">
  <w:body>
    <w:p>
      <w:r>
        <w:rPr>
          <w:b/>
        </w:rPr>
        <w:r>
          <w:rPr/>
          <w:t xml:space="preserve">5190-S</w:t>
        </w:r>
      </w:r>
      <w:r>
        <w:rPr>
          <w:b/>
        </w:rPr>
        <w:t xml:space="preserve"> </w:t>
        <w:t xml:space="preserve">AMS</w:t>
      </w:r>
      <w:r>
        <w:rPr>
          <w:b/>
        </w:rPr>
        <w:t xml:space="preserve"> </w:t>
        <w:r>
          <w:rPr/>
          <w:t xml:space="preserve">BRAU</w:t>
        </w:r>
      </w:r>
      <w:r>
        <w:rPr>
          <w:b/>
        </w:rPr>
        <w:t xml:space="preserve"> </w:t>
        <w:r>
          <w:rPr/>
          <w:t xml:space="preserve">S1507.1</w:t>
        </w:r>
      </w:r>
      <w:r>
        <w:rPr>
          <w:b/>
        </w:rPr>
        <w:t xml:space="preserve"> - NOT FOR FLOOR USE</w:t>
      </w:r>
    </w:p>
    <w:p>
      <w:pPr>
        <w:ind w:left="0" w:right="0" w:firstLine="576"/>
      </w:pPr>
    </w:p>
    <w:p>
      <w:pPr>
        <w:spacing w:before="480" w:after="0" w:line="408" w:lineRule="exact"/>
      </w:pPr>
      <w:r>
        <w:rPr>
          <w:b/>
          <w:u w:val="single"/>
        </w:rPr>
        <w:t xml:space="preserve">SSB 5190</w:t>
      </w:r>
      <w:r>
        <w:t xml:space="preserve"> -</w:t>
      </w:r>
      <w:r>
        <w:t xml:space="preserve"> </w:t>
        <w:t xml:space="preserve">S AMD TO S AMD (S-1355.1/21)</w:t>
      </w:r>
      <w:r>
        <w:t xml:space="preserve"> </w:t>
      </w:r>
      <w:r>
        <w:rPr>
          <w:b/>
        </w:rPr>
        <w:t xml:space="preserve">132</w:t>
      </w:r>
    </w:p>
    <w:p>
      <w:pPr>
        <w:spacing w:before="0" w:after="0" w:line="408" w:lineRule="exact"/>
        <w:ind w:left="0" w:right="0" w:firstLine="576"/>
        <w:jc w:val="left"/>
      </w:pPr>
      <w:r>
        <w:rPr/>
        <w:t xml:space="preserve">By Senator Braun</w:t>
      </w:r>
    </w:p>
    <w:p>
      <w:pPr>
        <w:jc w:val="right"/>
      </w:pPr>
      <w:r>
        <w:rPr>
          <w:b/>
        </w:rPr>
        <w:t xml:space="preserve">NOT ADOPTED 02/25/2021</w:t>
      </w:r>
    </w:p>
    <w:p>
      <w:pPr>
        <w:spacing w:before="0" w:after="0" w:line="408" w:lineRule="exact"/>
        <w:ind w:left="0" w:right="0" w:firstLine="576"/>
        <w:jc w:val="left"/>
      </w:pPr>
      <w:r>
        <w:rPr/>
        <w:t xml:space="preserve">Beginning on page 1, line 3, strike all material through "title." on page 18, line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health care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(a) The date that the worker first missed work due to symptoms of the infectious or contagious disease;</w:t>
      </w:r>
    </w:p>
    <w:p>
      <w:pPr>
        <w:spacing w:before="0" w:after="0" w:line="408" w:lineRule="exact"/>
        <w:ind w:left="0" w:right="0" w:firstLine="576"/>
        <w:jc w:val="left"/>
      </w:pPr>
      <w:r>
        <w:rPr/>
        <w:t xml:space="preserve">(b) The date the worker was quarantined by a medical provider or public health official; or</w:t>
      </w:r>
    </w:p>
    <w:p>
      <w:pPr>
        <w:spacing w:before="0" w:after="0" w:line="408" w:lineRule="exact"/>
        <w:ind w:left="0" w:right="0" w:firstLine="576"/>
        <w:jc w:val="left"/>
      </w:pPr>
      <w:r>
        <w:rPr/>
        <w:t xml:space="preserve">(c) The date the worker received a positive test result confirming contraction of the infectious or contagious disease.</w:t>
      </w:r>
    </w:p>
    <w:p>
      <w:pPr>
        <w:spacing w:before="0" w:after="0" w:line="408" w:lineRule="exact"/>
        <w:ind w:left="0" w:right="0" w:firstLine="576"/>
        <w:jc w:val="left"/>
      </w:pPr>
      <w:r>
        <w:rPr/>
        <w:t xml:space="preserve">(5) If leave or similar benefits are paid to the worker as part of a federal or state program for these employees during the public health emergency, total temporary disability benefits are not payable for the same period of time covered by this federal or state program.</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the costs and fees are paid by the employer.</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(7) Costs of the payments under this section shall not affect the experience rating of employers insured by the state fund. These costs shall be paid from the accident fund.</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"Health care employee" means an employee of any health care facility or other organization that provides emergency or medical services who may have direct contact with any person who has been exposed to or tested positive for any infectious or contagious diseases which are the subject of a public health emergency.</w:t>
      </w:r>
    </w:p>
    <w:p>
      <w:pPr>
        <w:spacing w:before="0" w:after="0" w:line="408" w:lineRule="exact"/>
        <w:ind w:left="0" w:right="0" w:firstLine="576"/>
        <w:jc w:val="left"/>
      </w:pPr>
      <w:r>
        <w:rPr/>
        <w:t xml:space="preserve">(b) "Health care facility" has the same meaning as in RCW 9A.50.010.</w:t>
      </w:r>
    </w:p>
    <w:p>
      <w:pPr>
        <w:spacing w:before="0" w:after="0" w:line="408" w:lineRule="exact"/>
        <w:ind w:left="0" w:right="0" w:firstLine="576"/>
        <w:jc w:val="left"/>
      </w:pPr>
      <w:r>
        <w:rPr/>
        <w:t xml:space="preserve">(c)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w:t>
      </w:r>
    </w:p>
    <w:p>
      <w:pPr>
        <w:spacing w:before="0" w:after="0" w:line="408" w:lineRule="exact"/>
        <w:ind w:left="0" w:right="0" w:firstLine="576"/>
        <w:jc w:val="left"/>
      </w:pPr>
      <w:r>
        <w:rPr/>
        <w:t xml:space="preserve">(9) The provisions of RCW 51.28.055 concerning time limits for filing claims for occupational disease apply to claims covered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upon the expiration or termination of proclamation 20-05, and any subsequent orders extending or amending the proclamation, declaring a state of emergency on February 29, 2020, for all counties in Washington due to COVID-19."</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18, line 12, after "insert" strike all material through "51.52.130;" on line 13</w:t>
      </w:r>
    </w:p>
    <w:p>
      <w:pPr>
        <w:spacing w:before="0" w:after="0" w:line="408" w:lineRule="exact"/>
        <w:ind w:left="0" w:right="0" w:firstLine="576"/>
        <w:jc w:val="left"/>
      </w:pPr>
      <w:r>
        <w:rPr/>
        <w:t xml:space="preserve">On page 18, line 13, after "adding" strike "new sections" and insert "a new section"</w:t>
      </w:r>
    </w:p>
    <w:p>
      <w:pPr>
        <w:spacing w:before="0" w:after="0" w:line="408" w:lineRule="exact"/>
        <w:ind w:left="0" w:right="0" w:firstLine="576"/>
        <w:jc w:val="left"/>
      </w:pPr>
      <w:r>
        <w:rPr/>
        <w:t xml:space="preserve">On page 18, line 14, after "section;" insert "providing a contingent expiration date;"</w:t>
      </w:r>
    </w:p>
    <w:p>
      <w:pPr>
        <w:spacing w:before="0" w:after="0" w:line="408" w:lineRule="exact"/>
        <w:ind w:left="0" w:right="0" w:firstLine="576"/>
        <w:jc w:val="left"/>
      </w:pPr>
      <w:r>
        <w:rPr>
          <w:u w:val="single"/>
        </w:rPr>
        <w:t xml:space="preserve">EFFECT:</w:t>
      </w:r>
      <w:r>
        <w:rPr/>
        <w:t xml:space="preserve"> Removes unemployment insurance provisions. For the workers' compensation presumption: Limits the presumption to infectious or contagious diseases that are transmitted through respiratory droplets or aerosols, or through contact with contaminated surfaces and are the subject of a public health emergency; removes language that presumes the employee contracted the disease at the health care facility; provides that the verification must be provided to L&amp;I and the self-insurer, rather than on; changes the rebuttal evidence standard to a preponderance, rather than clear and convincing; changes the work location for the rebuttal; removes language providing the timing of temporary total disability benefits; allows pay during the 3 days after contraction; removes provisions related to retrospective ratings groups; allows self-insurers to deduct costs of payments from costs reported; provides that costs are paid from the accident fund; modifies the definition of public health emergency to one covering all counties; and removes provisions on when the presumption takes effect and ends. Expires the bill upon the expiration of the emergency proclamation declaring a state of emergency due to COVID-19.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c9253d9974c83" /></Relationships>
</file>