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af18ad824468f" /></Relationships>
</file>

<file path=word/document.xml><?xml version="1.0" encoding="utf-8"?>
<w:document xmlns:w="http://schemas.openxmlformats.org/wordprocessingml/2006/main">
  <w:body>
    <w:p>
      <w:r>
        <w:rPr>
          <w:b/>
        </w:rPr>
        <w:r>
          <w:rPr/>
          <w:t xml:space="preserve">5226-S</w:t>
        </w:r>
      </w:r>
      <w:r>
        <w:rPr>
          <w:b/>
        </w:rPr>
        <w:t xml:space="preserve"> </w:t>
        <w:t xml:space="preserve">AMS</w:t>
      </w:r>
      <w:r>
        <w:rPr>
          <w:b/>
        </w:rPr>
        <w:t xml:space="preserve"> </w:t>
        <w:r>
          <w:rPr/>
          <w:t xml:space="preserve">PEDE</w:t>
        </w:r>
      </w:r>
      <w:r>
        <w:rPr>
          <w:b/>
        </w:rPr>
        <w:t xml:space="preserve"> </w:t>
        <w:r>
          <w:rPr/>
          <w:t xml:space="preserve">S1923.2</w:t>
        </w:r>
      </w:r>
      <w:r>
        <w:rPr>
          <w:b/>
        </w:rPr>
        <w:t xml:space="preserve"> - NOT FOR FLOOR USE</w:t>
      </w:r>
    </w:p>
    <w:p>
      <w:pPr>
        <w:ind w:left="0" w:right="0" w:firstLine="576"/>
      </w:pP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419</w:t>
      </w:r>
    </w:p>
    <w:p>
      <w:pPr>
        <w:spacing w:before="0" w:after="0" w:line="408" w:lineRule="exact"/>
        <w:ind w:left="0" w:right="0" w:firstLine="576"/>
        <w:jc w:val="left"/>
      </w:pPr>
      <w:r>
        <w:rPr/>
        <w:t xml:space="preserve">By Senator Pedersen</w:t>
      </w:r>
    </w:p>
    <w:p>
      <w:pPr>
        <w:jc w:val="right"/>
      </w:pPr>
      <w:r>
        <w:rPr>
          <w:b/>
        </w:rPr>
        <w:t xml:space="preserve">ADOPTED AS AMENDED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w:t>
      </w:r>
      <w:r>
        <w:t>((</w:t>
      </w:r>
      <w:r>
        <w:rPr>
          <w:strike/>
        </w:rPr>
        <w:t xml:space="preserve">court may, at its discretion, enter into</w:t>
      </w:r>
      <w:r>
        <w:t>))</w:t>
      </w:r>
      <w:r>
        <w:rPr/>
        <w:t xml:space="preserve"> </w:t>
      </w:r>
      <w:r>
        <w:rPr>
          <w:u w:val="single"/>
        </w:rPr>
        <w:t xml:space="preserve">person may request</w:t>
      </w:r>
      <w:r>
        <w:rPr/>
        <w:t xml:space="preserve">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and the person has not previously been granted a payment plan for the same monetary obligation, the court shall enter into a payment plan with the individual.</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120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w:t>
      </w:r>
      <w:r>
        <w:t>((</w:t>
      </w:r>
      <w:r>
        <w:rPr>
          <w:strike/>
        </w:rPr>
        <w:t xml:space="preserve">violated a written promise to appear in court for a notice of infraction for a moving violation, or has</w:t>
      </w:r>
      <w:r>
        <w:t>))</w:t>
      </w:r>
      <w:r>
        <w:rPr/>
        <w:t xml:space="preserve"> </w:t>
      </w:r>
      <w:r>
        <w:rPr>
          <w:u w:val="single"/>
        </w:rPr>
        <w:t xml:space="preserve">or</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w:t>
      </w:r>
      <w:r>
        <w:t>((</w:t>
      </w:r>
      <w:r>
        <w:rPr>
          <w:strike/>
        </w:rPr>
        <w:t xml:space="preserve">violated a written promise to appear in court,</w:t>
      </w:r>
      <w:r>
        <w:t>))</w:t>
      </w:r>
      <w:r>
        <w:rPr/>
        <w:t xml:space="preserve"> or has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issued during or as the result of a single traffic stop constitute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 </w:t>
      </w:r>
      <w:r>
        <w:rPr>
          <w:u w:val="single"/>
        </w:rPr>
        <w:t xml:space="preserve">for a moving violation</w:t>
      </w:r>
      <w:r>
        <w:rPr/>
        <w:t xml:space="preserve">, failed to appear at a requested hearing </w:t>
      </w:r>
      <w:r>
        <w:rPr>
          <w:u w:val="single"/>
        </w:rPr>
        <w:t xml:space="preserve">for a moving violation</w:t>
      </w:r>
      <w:r>
        <w:rPr/>
        <w:t xml:space="preserve">, </w:t>
      </w:r>
      <w:r>
        <w:t>((</w:t>
      </w:r>
      <w:r>
        <w:rPr>
          <w:strike/>
        </w:rPr>
        <w:t xml:space="preserve">violated a written promise to appear in court,</w:t>
      </w:r>
      <w:r>
        <w:t>))</w:t>
      </w:r>
      <w:r>
        <w:rPr/>
        <w:t xml:space="preserve"> or </w:t>
      </w:r>
      <w:r>
        <w:t>((</w:t>
      </w:r>
      <w:r>
        <w:rPr>
          <w:strike/>
        </w:rPr>
        <w:t xml:space="preserve">has</w:t>
      </w:r>
      <w:r>
        <w:t>))</w:t>
      </w:r>
      <w:r>
        <w:rPr/>
        <w:t xml:space="preserve"> failed to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appear or </w:t>
      </w:r>
      <w:r>
        <w:t>((</w:t>
      </w:r>
      <w:r>
        <w:rPr>
          <w:strike/>
        </w:rPr>
        <w:t xml:space="preserve">pay a traffic ticket under</w:t>
      </w:r>
      <w:r>
        <w:t>))</w:t>
      </w:r>
      <w:r>
        <w:rPr/>
        <w:t xml:space="preserve"> </w:t>
      </w:r>
      <w:r>
        <w:rPr>
          <w:u w:val="single"/>
        </w:rPr>
        <w:t xml:space="preserve">respond 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the availability of relief to reinstate a suspended license as provided in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w:t>
      </w:r>
      <w:r>
        <w:t>))</w:t>
      </w:r>
      <w:r>
        <w:rPr/>
        <w:t xml:space="preserve"> </w:t>
      </w:r>
      <w:r>
        <w:rPr>
          <w:u w:val="single"/>
        </w:rPr>
        <w:t xml:space="preserve">fails to respond to a notice of traffic infraction for a moving violation,</w:t>
      </w:r>
      <w:r>
        <w:rPr/>
        <w:t xml:space="preserve"> fails to appear at a requested hearing for a moving violation, or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traffic infraction</w:t>
      </w:r>
      <w:r>
        <w:rPr>
          <w:u w:val="single"/>
        </w:rPr>
        <w:t xml:space="preserve">,</w:t>
      </w:r>
      <w:r>
        <w:rPr/>
        <w:t xml:space="preserve">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2022."</w:t>
      </w: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419</w:t>
      </w:r>
    </w:p>
    <w:p>
      <w:pPr>
        <w:spacing w:before="0" w:after="0" w:line="408" w:lineRule="exact"/>
        <w:ind w:left="0" w:right="0" w:firstLine="576"/>
        <w:jc w:val="left"/>
      </w:pPr>
      <w:r>
        <w:rPr/>
        <w:t xml:space="preserve">By Senator Pedersen</w:t>
      </w:r>
    </w:p>
    <w:p>
      <w:pPr>
        <w:jc w:val="right"/>
      </w:pPr>
      <w:r>
        <w:rPr>
          <w:b/>
        </w:rPr>
        <w:t xml:space="preserve">ADOPTED AS AMENDED 03/08/2021</w:t>
      </w:r>
    </w:p>
    <w:p>
      <w:pPr>
        <w:spacing w:before="0" w:after="0" w:line="408" w:lineRule="exact"/>
        <w:ind w:left="0" w:right="0" w:firstLine="576"/>
        <w:jc w:val="left"/>
      </w:pPr>
      <w:r>
        <w:rPr/>
        <w:t xml:space="preserve">On page 1, line 2 of the title, after "infractions;" strike the remainder of the title and insert "amending RCW 46.63.060, 46.63.070, 46.20.289, 46.20.291, 46.20.311, 46.20.342, 46.20.391, and 46.64.025; reenacting and amending RCW 46.63.110 and 2.68.040; adding a new section to chapter 46.63 RCW; adding new sections to chapter 46.20 RCW; adding a new section to chapter 46.68 RCW; prescribing penalties; and providing an effective date."</w:t>
      </w:r>
    </w:p>
    <w:p>
      <w:pPr>
        <w:spacing w:before="0" w:after="0" w:line="408" w:lineRule="exact"/>
        <w:ind w:left="0" w:right="0" w:firstLine="576"/>
        <w:jc w:val="left"/>
      </w:pPr>
      <w:r>
        <w:rPr>
          <w:u w:val="single"/>
        </w:rPr>
        <w:t xml:space="preserve">EFFECT:</w:t>
      </w:r>
      <w:r>
        <w:rPr/>
        <w:t xml:space="preserve"> Authorizes the suspension of a person's driver's license or driving privileges if the person has failed to respond to a notice of traffic infraction for a moving violation or failed to appear at a requested hearing for a moving violation. Removes the requirement that the court enter into a payment plan with a person who has failed to pay a monetary obligation associated with a traffic infraction if the court has previously entered into a payment plan with the person for the same monetary obligation. Clarifies that multiple traffic infractions issued during or as the result of a single traffic stop constitute a single occasion for determining the number of infractions a person has committed.  Removes the requirement that the Department of Licensing make efforts to personally notify individuals who may qualify for reinstatement but retains the requirement that DOL publicize the availability of relief.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011ffeaf0040aa" /></Relationships>
</file>