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9c84d03f143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5237-S2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S1832.1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26, after "July 1," strike "2025"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34, after "July 1," strike "2027"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19, after "July 1," strike "2027"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32, after "program" strike all material through "income"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28, after "</w:t>
      </w:r>
      <w:r>
        <w:rPr>
          <w:u w:val="single"/>
        </w:rPr>
        <w:t xml:space="preserve">incomes</w:t>
      </w:r>
      <w:r>
        <w:rPr/>
        <w:t xml:space="preserve">" strike all material through "</w:t>
      </w:r>
      <w:r>
        <w:rPr>
          <w:u w:val="single"/>
        </w:rPr>
        <w:t xml:space="preserve">incomes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6, after "</w:t>
      </w:r>
      <w:r>
        <w:rPr>
          <w:strike/>
        </w:rPr>
        <w:t xml:space="preserve">if</w:t>
      </w:r>
      <w:r>
        <w:rPr/>
        <w:t xml:space="preserve">))" strike all material through "</w:t>
      </w:r>
      <w:r>
        <w:rPr>
          <w:u w:val="single"/>
        </w:rPr>
        <w:t xml:space="preserve">but</w:t>
      </w:r>
      <w:r>
        <w:rPr/>
        <w:t xml:space="preserve">" on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5, after "July 1," strike "2024"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line 28, after "July 1," strike "2026"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Makes Working Connections Child Care (WCCC) eligibility provisions effective July 1,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Makes WCCC copayment provisions for household incomes above 60 percent and at or below 75 percent of state median income effective July 1, 2024, instead of July 1, 2027.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Makes the expanded definition of eligible child for the Early Childhood Education and Assistance Program (ECEAP) and other ECEAP and Birth-to-Three ECEAP provisions effective July 1,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Makes the definition of Indian for the purposes of ECEAP eligibility due on July 1, 2023, instead of July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2b2513574fad" /></Relationships>
</file>