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9ff4abed24b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S3007.1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violation of this section while present on the grounds of a K-12 common school or any early learning facility is a class C felony punishable according to chapter 9A.20 RCW.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(8) A violation of this section while present on the grounds of a K-12 common school or any early learning facility is a class C felony punishable according to chapter 9A.20 RCW.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violation of this section while present on the grounds of a K-12 common school or any early learning facility is a class C felony punishable according to chapter 9A.20 RCW.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violation of this section while present on the grounds of a K-12 common school or any early learning facility is a class C felony punishable according to chapter 9A.20 RCW.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possession of controlled substances, counterfeit substances, and legend drugs on school grounds and daycares a Class C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8d2035b8d42b8" /></Relationships>
</file>