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9d771b47645fa"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PEDE</w:t>
        </w:r>
      </w:r>
      <w:r>
        <w:rPr>
          <w:b/>
        </w:rPr>
        <w:t xml:space="preserve"> </w:t>
        <w:r>
          <w:rPr/>
          <w:t xml:space="preserve">S2939.2</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831</w:t>
      </w:r>
    </w:p>
    <w:p>
      <w:pPr>
        <w:spacing w:before="0" w:after="0" w:line="408" w:lineRule="exact"/>
        <w:ind w:left="0" w:right="0" w:firstLine="576"/>
        <w:jc w:val="left"/>
      </w:pPr>
      <w:r>
        <w:rPr/>
        <w:t xml:space="preserve">By Senator Pedersen</w:t>
      </w:r>
    </w:p>
    <w:p>
      <w:pPr>
        <w:jc w:val="right"/>
      </w:pPr>
      <w:r>
        <w:rPr>
          <w:b/>
        </w:rPr>
        <w:t xml:space="preserve">ADOPTED AS AMENDED 04/15/2021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 is a disease and should be treated using a public health, rather than a criminal justice-centered, approach. Existing laws criminalizing the possession of drugs have been ineffective in reducing drug use and preventing substance use disorder. These laws cause significant harm to individuals who use drugs by disrupting and further destabilizing their lives. It also contributes to an increased risk of death, the spread of infectious diseases, mass incarceration, the separation of families, and barriers to accessing housing, employment, and other vital services. Furthermore, even though research shows that drugs are used and sold at similar levels across all races, laws criminalizing the use of drugs have disproportionately impacted minority communities.</w:t>
      </w:r>
    </w:p>
    <w:p>
      <w:pPr>
        <w:spacing w:before="0" w:after="0" w:line="408" w:lineRule="exact"/>
        <w:ind w:left="0" w:right="0" w:firstLine="576"/>
        <w:jc w:val="left"/>
      </w:pPr>
      <w:r>
        <w:rPr/>
        <w:t xml:space="preserve">This act takes the important first step of reducing the crime of possession from a felony to a gross misdemeanor and institutes greater opportunities for treatment. In coordination with this act, the legislature intends to increase funding for programs that have a proven track record of assisting individuals to break free from substance use dependency. These programs include LEAD (law enforcement assisted diversion/let everyone advance with dignity program); HOST (homeless outreach stabilization transition teams); peer-run clubhouses; opioid treatment network; project for psychiatric outreach for the homeless; mobile opioid treatment grant; peer support programs; and family navigators.</w:t>
      </w:r>
    </w:p>
    <w:p>
      <w:pPr>
        <w:spacing w:before="0" w:after="0" w:line="408" w:lineRule="exact"/>
        <w:ind w:left="0" w:right="0" w:firstLine="576"/>
        <w:jc w:val="left"/>
      </w:pPr>
      <w:r>
        <w:rPr/>
        <w:t xml:space="preserve">The purpose of this act is to save lives and to help transform Washington's approach to drug use from one based on criminalization and stigma to one based on science and compassion.</w:t>
      </w:r>
    </w:p>
    <w:p>
      <w:pPr>
        <w:spacing w:before="240" w:after="0" w:line="408" w:lineRule="exact"/>
        <w:ind w:left="0" w:right="0" w:firstLine="576"/>
        <w:jc w:val="center"/>
      </w:pPr>
    </w:p>
    <w:p>
      <w:pPr>
        <w:spacing w:before="0" w:after="0" w:line="408" w:lineRule="exact"/>
        <w:ind w:left="0" w:right="0" w:firstLine="576"/>
        <w:jc w:val="center"/>
      </w:pPr>
    </w:p>
    <w:p>
      <w:pPr>
        <w:spacing w:before="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POSSESSION AND USE OF CONTROLLED SUBSTANCES, COUNTERFEIT SUBSTANCES, AND LEGEND DRUGS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create, deliver, or </w:t>
      </w:r>
      <w:r>
        <w:rPr>
          <w:u w:val="single"/>
        </w:rPr>
        <w:t xml:space="preserve">knowingly</w:t>
      </w:r>
      <w:r>
        <w:rPr/>
        <w:t xml:space="preserve"> possess a counterfeit substance.</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(3) of this section, any</w:t>
      </w:r>
      <w:r>
        <w:rPr/>
        <w:t xml:space="preserve">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this section involving possession is a gross misdemeanor. 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w:t>
      </w:r>
      <w:r>
        <w:t>))</w:t>
      </w:r>
      <w:r>
        <w:rPr/>
        <w:t xml:space="preserve"> </w:t>
      </w:r>
      <w:r>
        <w:rPr>
          <w:u w:val="single"/>
        </w:rPr>
        <w:t xml:space="preserve">gross misdemeanor</w:t>
      </w:r>
      <w:r>
        <w:rPr/>
        <w:t xml:space="preserve"> punishable under chapter 9A.20 RCW.</w:t>
      </w:r>
    </w:p>
    <w:p>
      <w:pPr>
        <w:spacing w:before="0" w:after="0" w:line="408" w:lineRule="exact"/>
        <w:ind w:left="0" w:right="0" w:firstLine="576"/>
        <w:jc w:val="left"/>
      </w:pPr>
      <w:r>
        <w:rPr/>
        <w:t xml:space="preserve">(3) </w:t>
      </w:r>
      <w:r>
        <w:rPr>
          <w:u w:val="single"/>
        </w:rPr>
        <w:t xml:space="preserve">Where a case is legally sufficient, the prosecutor shall divert the case for treatment if the alleged violation is the person's first or second violation of this section. On a person's third and subsequent violation of this section, the prosecutor is encouraged to divert the case for treatment.</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PERSONAL USE AMOUNTS OF CONTROLLED SUBSTANCES, COUNTERFEIT SUBSTANCES, AND LEGEND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October 1, 2022, the director, in consultation with the department and the pharmacy quality assurance commission, shall adopt rules establishing maximum personal use amounts of controlled substances, counterfeit substances, and legend drugs known to be used by people for recreational or nonmedical and nonprescribed purposes.</w:t>
      </w:r>
    </w:p>
    <w:p>
      <w:pPr>
        <w:spacing w:before="0" w:after="0" w:line="408" w:lineRule="exact"/>
        <w:ind w:left="0" w:right="0" w:firstLine="576"/>
        <w:jc w:val="left"/>
      </w:pPr>
      <w:r>
        <w:rPr/>
        <w:t xml:space="preserve">(2) When the committee learns of a recreational or nonmedical and nonprescribed use of a controlled substance, counterfeit substance, or legend drug for which a maximum personal use amount has not been established, the director must adopt a maximum personal use amount for that substance within one year of learning of its recreational or nonmedical and nonprescribed use.</w:t>
      </w:r>
    </w:p>
    <w:p>
      <w:pPr>
        <w:spacing w:before="0" w:after="0" w:line="408" w:lineRule="exact"/>
        <w:ind w:left="0" w:right="0" w:firstLine="576"/>
        <w:jc w:val="left"/>
      </w:pPr>
      <w:r>
        <w:rPr/>
        <w:t xml:space="preserve">(3) In adopting the rules under this section, the director must convene and consult with a work group, which must include, at a minimum: Persons who currently use controlled substances outside the legal authority of a prescription or valid practitioner order; persons in recovery from substance use disorder who previously used substances outside the legal authority of a prescription or valid practitioner order; representatives from law enforcement; a representative of public defenders; a representative of prosecutors; and experts relevant to setting threshold amounts of controlled substances.</w:t>
      </w:r>
    </w:p>
    <w:p>
      <w:pPr>
        <w:spacing w:before="0" w:after="0" w:line="408" w:lineRule="exact"/>
        <w:ind w:left="0" w:right="0" w:firstLine="576"/>
        <w:jc w:val="left"/>
      </w:pPr>
      <w:r>
        <w:rPr/>
        <w:t xml:space="preserve">(4) For the purposes of this section, the term "personal use amount" has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w:t>
      </w:r>
      <w:r>
        <w:rPr>
          <w:u w:val="single"/>
        </w:rPr>
        <w:t xml:space="preserve">"Personal use amount" has the meaning provided in RCW 69.50.101.</w:t>
      </w:r>
    </w:p>
    <w:p>
      <w:pPr>
        <w:spacing w:before="0" w:after="0" w:line="408" w:lineRule="exact"/>
        <w:ind w:left="0" w:right="0" w:firstLine="576"/>
        <w:jc w:val="left"/>
      </w:pPr>
      <w:r>
        <w:rPr>
          <w:u w:val="single"/>
        </w:rPr>
        <w:t xml:space="preserve">(18)</w:t>
      </w:r>
      <w:r>
        <w:rPr/>
        <w:t xml:space="preserve">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w:t>
      </w:r>
      <w:r>
        <w:rPr>
          <w:u w:val="single"/>
        </w:rPr>
        <w:t xml:space="preserve">"Personal use amount" has the meaning provided in RCW 69.50.101.</w:t>
      </w:r>
    </w:p>
    <w:p>
      <w:pPr>
        <w:spacing w:before="0" w:after="0" w:line="408" w:lineRule="exact"/>
        <w:ind w:left="0" w:right="0" w:firstLine="576"/>
        <w:jc w:val="left"/>
      </w:pPr>
      <w:r>
        <w:rPr>
          <w:u w:val="single"/>
        </w:rPr>
        <w:t xml:space="preserve">(18)</w:t>
      </w:r>
      <w:r>
        <w:rPr/>
        <w:t xml:space="preserve">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the maximum amount of a particular controlled substance, legend drug, or counterfeit substance that the health care authority has determined to be consistent with personal, nonprescribed use patterns of people with substance use disorder, as provided under section 7 of this act.</w:t>
      </w:r>
    </w:p>
    <w:p>
      <w:pPr>
        <w:spacing w:before="0" w:after="0" w:line="408" w:lineRule="exact"/>
        <w:ind w:left="0" w:right="0" w:firstLine="576"/>
        <w:jc w:val="left"/>
      </w:pPr>
      <w:r>
        <w:rPr>
          <w:u w:val="single"/>
        </w:rPr>
        <w:t xml:space="preserve">(ll)</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the maximum amount of a particular controlled substance, legend drug, or counterfeit substance that the health care authority has determined to be consistent with personal, nonprescribed use patterns of people with substance use disorder, as provided under section 7 of this act.</w:t>
      </w:r>
    </w:p>
    <w:p>
      <w:pPr>
        <w:spacing w:before="0" w:after="0" w:line="408" w:lineRule="exact"/>
        <w:ind w:left="0" w:right="0" w:firstLine="576"/>
        <w:jc w:val="left"/>
      </w:pPr>
      <w:r>
        <w:rPr>
          <w:u w:val="single"/>
        </w:rPr>
        <w:t xml:space="preserve">(ll)</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SUBSTANCE USE RECOVERY SERVICES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the substance use recovery services advisory committee to make recommendations for implementation of a substance use recovery services plan.</w:t>
      </w:r>
    </w:p>
    <w:p>
      <w:pPr>
        <w:spacing w:before="0" w:after="0" w:line="408" w:lineRule="exact"/>
        <w:ind w:left="0" w:right="0" w:firstLine="576"/>
        <w:jc w:val="left"/>
      </w:pPr>
      <w:r>
        <w:rPr/>
        <w:t xml:space="preserve">(2)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 The membership of the advisory committee must include, but is not limited to, experts in the etiology and stabilization of substance use disorders, including expertise in medication-assisted treatment and other innovative medication therapies; experts in mental health and trauma and their comorbidity with substance use disorders; people who are currently using controlled substances outside the legal authority of prescription or valid practitioner order; experts in the relationship between social determinants of health, including housing and substance use disorder; experts in drug user health and harm reduction; representatives of city and county governments; a representative of urban police chiefs; a representative of rural county sheriffs; a representative of the interests of rural communities; a representative of fire chiefs; experts in peer support services; experts in substance use disorder recovery support services; experts in diversion from the criminal legal system to community-based care for people with complex behavioral health needs; experts in reducing racial disparity in exposure to the criminal legal system; an academic researcher with an expertise in drug policy and program evaluation; a substance use disorder professional; a representative of public defenders; a representative of prosecutors; a representative of the criminal justice training commission; a nongovernmental immigration attorney with expertise in the immigration consequences of drug possession and use crimes and findings of substance use disorder; recovery housing providers; low-barrier housing providers; representatives of racial justice organizations, including organizations promoting antiracism and equity in health care; a representative of a local health jurisdiction with expertise in overdose prevention and harm reduction; representatives of the interests of tribes; at least three adults in recovery from substance use disorder, including individuals with previous contact with the criminal legal system due to substance use; at least three youths in recovery from substance use disorder, including youths with previous criminal legal system contact due to substance use; and at least three family members of persons with substance use disorder. The advisory committee shall be reflective of the community of individuals living with substance use disorder, including people who are Black, indigenous, and people of color, and individuals who can represent the unique needs of rural communities.</w:t>
      </w:r>
    </w:p>
    <w:p>
      <w:pPr>
        <w:spacing w:before="0" w:after="0" w:line="408" w:lineRule="exact"/>
        <w:ind w:left="0" w:right="0" w:firstLine="576"/>
        <w:jc w:val="left"/>
      </w:pPr>
      <w:r>
        <w:rPr/>
        <w:t xml:space="preserve">(3) The advisory committee must make recommendations and provide perspectives to the authority regarding:</w:t>
      </w:r>
    </w:p>
    <w:p>
      <w:pPr>
        <w:spacing w:before="0" w:after="0" w:line="408" w:lineRule="exact"/>
        <w:ind w:left="0" w:right="0" w:firstLine="576"/>
        <w:jc w:val="left"/>
      </w:pPr>
      <w:r>
        <w:rPr/>
        <w:t xml:space="preserve">(a) Reforms to state laws that align with the goal of treating substance use disorder as a disease, rather than a criminal behavior;</w:t>
      </w:r>
    </w:p>
    <w:p>
      <w:pPr>
        <w:spacing w:before="0" w:after="0" w:line="408" w:lineRule="exact"/>
        <w:ind w:left="0" w:right="0" w:firstLine="576"/>
        <w:jc w:val="left"/>
      </w:pPr>
      <w:r>
        <w:rPr/>
        <w:t xml:space="preserve">(b) Current regional capacity for existing public and private programs providing substance use disorder assessments, each of the American society of addiction medicine levels of care, and recovery support services;</w:t>
      </w:r>
    </w:p>
    <w:p>
      <w:pPr>
        <w:spacing w:before="0" w:after="0" w:line="408" w:lineRule="exact"/>
        <w:ind w:left="0" w:right="0" w:firstLine="576"/>
        <w:jc w:val="left"/>
      </w:pPr>
      <w:r>
        <w:rPr/>
        <w:t xml:space="preserve">(c) Barriers to accessing the existing health system for those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pPr>
        <w:spacing w:before="0" w:after="0" w:line="408" w:lineRule="exact"/>
        <w:ind w:left="0" w:right="0" w:firstLine="576"/>
        <w:jc w:val="left"/>
      </w:pPr>
      <w:r>
        <w:rPr/>
        <w:t xml:space="preserve">(d) Evidence-based, research-based, and promising treatment and recovery services appropriate for target populations, to include, but not be limited to, field-based outreach and engagement, case management, mental and physical health care, contingency management, medication-assisted treatment and other innovative medication therapies, peer support services, family education, housing, job training and employment programs, and treatments that have not traditionally been covered by insurance;</w:t>
      </w:r>
    </w:p>
    <w:p>
      <w:pPr>
        <w:spacing w:before="0" w:after="0" w:line="408" w:lineRule="exact"/>
        <w:ind w:left="0" w:right="0" w:firstLine="576"/>
        <w:jc w:val="left"/>
      </w:pPr>
      <w:r>
        <w:rPr/>
        <w:t xml:space="preserve">(e) Workforce needs for the behavioral health services sector, including wage and retention challenges;</w:t>
      </w:r>
    </w:p>
    <w:p>
      <w:pPr>
        <w:spacing w:before="0" w:after="0" w:line="408" w:lineRule="exact"/>
        <w:ind w:left="0" w:right="0" w:firstLine="576"/>
        <w:jc w:val="left"/>
      </w:pPr>
      <w:r>
        <w:rPr/>
        <w:t xml:space="preserve">(f)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(g)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(h) The design of a referral mechanism for referring people with substance use disorder or problematic behaviors resulting from drug use into the supportive services described in this section, including intercepting individuals who likely would otherwise be referred into the criminal legal system, with the express intention of ensuring that decriminalization of possession of personal use amounts does not inadvertently contribute to increased racial disparity among those who continue to be exposed to the criminal legal system due to income instability and involvement in the illicit economy to meet basic needs;</w:t>
      </w:r>
    </w:p>
    <w:p>
      <w:pPr>
        <w:spacing w:before="0" w:after="0" w:line="408" w:lineRule="exact"/>
        <w:ind w:left="0" w:right="0" w:firstLine="576"/>
        <w:jc w:val="left"/>
      </w:pPr>
      <w:r>
        <w:rPr/>
        <w:t xml:space="preserve">(i) The design of ongoing qualitative and quantitative research about the types of services desired by people with substance use disorders and barriers they experience in accessing existing and recommended services; and</w:t>
      </w:r>
    </w:p>
    <w:p>
      <w:pPr>
        <w:spacing w:before="0" w:after="0" w:line="408" w:lineRule="exact"/>
        <w:ind w:left="0" w:right="0" w:firstLine="576"/>
        <w:jc w:val="left"/>
      </w:pPr>
      <w:r>
        <w:rPr/>
        <w:t xml:space="preserve">(j) Proposing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(4) The authority shall submit a summary report of the substance use recovery services plan and recommended changes to the law to the appropriate committees of the legislature by October 1, 2022.</w:t>
      </w:r>
    </w:p>
    <w:p>
      <w:pPr>
        <w:spacing w:before="0" w:after="0" w:line="408" w:lineRule="exact"/>
        <w:ind w:left="0" w:right="0" w:firstLine="576"/>
        <w:jc w:val="left"/>
      </w:pPr>
      <w:r>
        <w:rPr/>
        <w:t xml:space="preserve">(5) This section expires December 31, 2023.</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RESENTENCING AND RELEASE OF PERSONS IMPACTED BY </w:t>
      </w:r>
      <w:r>
        <w:rPr>
          <w:b/>
          <w:i/>
        </w:rPr>
        <w:t xml:space="preserve">STATE V. BLAKE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w:t>
      </w:r>
      <w:r>
        <w:t>((</w:t>
      </w:r>
      <w:r>
        <w:rPr>
          <w:strike/>
        </w:rPr>
        <w:t xml:space="preserve">in counties with a population of more than four hundred thousand,</w:t>
      </w:r>
      <w:r>
        <w:t>))</w:t>
      </w:r>
      <w:r>
        <w:rPr/>
        <w:t xml:space="preserve"> by the presiding judge of the superior court having jurisdiction </w:t>
      </w:r>
      <w:r>
        <w:t>((</w:t>
      </w:r>
      <w:r>
        <w:rPr>
          <w:strike/>
        </w:rPr>
        <w:t xml:space="preserve">therein</w:t>
      </w:r>
      <w:r>
        <w:t>))</w:t>
      </w:r>
      <w:r>
        <w:rPr/>
        <w:t xml:space="preserve">,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 </w:t>
      </w:r>
      <w:r>
        <w:rPr>
          <w:u w:val="single"/>
        </w:rPr>
        <w:t xml:space="preserve">Criminal commissioners also shall have the authority to conduct resentencing hearings and to vacate convictions pursuant to </w:t>
      </w:r>
      <w:r>
        <w:rPr>
          <w:i/>
          <w:u w:val="single"/>
        </w:rPr>
        <w:t xml:space="preserve">State v. Blake</w:t>
      </w:r>
      <w:r>
        <w:rPr>
          <w:u w:val="single"/>
        </w:rPr>
        <w:t xml:space="preserve">, No. 96873-0 (Feb. 25, 2021).</w:t>
      </w:r>
    </w:p>
    <w:p>
      <w:pPr>
        <w:spacing w:before="0" w:after="0" w:line="408" w:lineRule="exact"/>
        <w:ind w:left="0" w:right="0" w:firstLine="576"/>
        <w:jc w:val="left"/>
      </w:pPr>
      <w:r>
        <w:rPr/>
        <w:t xml:space="preserve">(b)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to vacate convictions pursuant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w:t>
      </w:r>
      <w:r>
        <w:rPr>
          <w:u w:val="single"/>
        </w:rPr>
        <w:t xml:space="preserve">Notwithstanding any other provision of this section, an offender entitled to vacation of a conviction or the recalculation of his or her offender score pursuant to </w:t>
      </w:r>
      <w:r>
        <w:rPr>
          <w:i/>
          <w:u w:val="single"/>
        </w:rPr>
        <w:t xml:space="preserve">State v. Blake</w:t>
      </w:r>
      <w:r>
        <w:rPr>
          <w:u w:val="single"/>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u w:val="single"/>
        </w:rPr>
        <w:t xml:space="preserve">(3)</w:t>
      </w:r>
      <w:r>
        <w:rPr/>
        <w:t xml:space="preserve">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 xml:space="preserve">State v. Blake</w:t>
      </w:r>
      <w:r>
        <w:rPr/>
        <w:t xml:space="preserve"> and to reimburse individuals for legal financial obligations paid in connection with sentences that have been invalidated as a result of the decision in </w:t>
      </w:r>
      <w:r>
        <w:rPr>
          <w:i/>
        </w:rPr>
        <w:t xml:space="preserve">State v. Blake</w:t>
      </w:r>
      <w:r>
        <w:rPr/>
        <w:t xml:space="preserv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ELIMINATION OF CRIMINAL PENALTIES FOR PERSONAL USE AMOUNTS OF CONTROLLED SUBSTANCES, COUNTERFEIT SUBSTANCES, AND LEGEND DRUGS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w:t>
      </w:r>
    </w:p>
    <w:p>
      <w:pPr>
        <w:spacing w:before="0" w:after="0" w:line="408" w:lineRule="exact"/>
        <w:ind w:left="0" w:right="0" w:firstLine="576"/>
        <w:jc w:val="left"/>
      </w:pPr>
      <w:r>
        <w:rPr>
          <w:u w:val="single"/>
        </w:rPr>
        <w:t xml:space="preserve">(b) Any person to knowingly possess more than a personal use amount of a counterfeit substance; or</w:t>
      </w:r>
    </w:p>
    <w:p>
      <w:pPr>
        <w:spacing w:before="0" w:after="0" w:line="408" w:lineRule="exact"/>
        <w:ind w:left="0" w:right="0" w:firstLine="576"/>
        <w:jc w:val="left"/>
      </w:pPr>
      <w:r>
        <w:rPr>
          <w:u w:val="single"/>
        </w:rPr>
        <w:t xml:space="preserve">(c) A person under the age of 21 to knowingly possess a counterfeit substance of any amount</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Any person who violates subsection (1)(b) or (c) of this section is guilty of a gross misdemeanor. Where a case is legally sufficient, the prosecutor shall divert the case for treatment if the alleged violation involving possession is the person's first or second violation. On a person's third and subsequent violation involving possession, the prosecutor may divert the case for treatment.</w:t>
      </w:r>
    </w:p>
    <w:p>
      <w:pPr>
        <w:spacing w:before="0" w:after="0" w:line="408" w:lineRule="exact"/>
        <w:ind w:left="0" w:right="0" w:firstLine="576"/>
        <w:jc w:val="left"/>
      </w:pPr>
      <w:r>
        <w:rPr>
          <w:u w:val="single"/>
        </w:rPr>
        <w:t xml:space="preserve">(4) A person 21 years of age or older who possesses a counterfeit substance in an amount that does not exceed the applicable personal use amount may be referred to a local diversion program for connection to substance use disorder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w:t>
      </w:r>
      <w:r>
        <w:t>((</w:t>
      </w:r>
      <w:r>
        <w:rPr>
          <w:strike/>
        </w:rPr>
        <w:t xml:space="preserve">It is unlawful for any person to possess a controlled substance unless</w:t>
      </w:r>
      <w:r>
        <w:t>))</w:t>
      </w:r>
      <w:r>
        <w:rPr/>
        <w:t xml:space="preserve"> </w:t>
      </w:r>
      <w:r>
        <w:rPr>
          <w:u w:val="single"/>
        </w:rPr>
        <w:t xml:space="preserve">Unless</w:t>
      </w:r>
      <w:r>
        <w:rPr/>
        <w:t xml:space="preserve"> the substance was obtained directly from, or pursuant to, a valid prescription or order of a practitioner while acting in the course of his or her professional practice, or except as otherwise authorized by this chapter</w:t>
      </w:r>
      <w:r>
        <w:rPr>
          <w:u w:val="single"/>
        </w:rPr>
        <w:t xml:space="preserve">, it is unlawful for:</w:t>
      </w:r>
    </w:p>
    <w:p>
      <w:pPr>
        <w:spacing w:before="0" w:after="0" w:line="408" w:lineRule="exact"/>
        <w:ind w:left="0" w:right="0" w:firstLine="576"/>
        <w:jc w:val="left"/>
      </w:pPr>
      <w:r>
        <w:rPr>
          <w:u w:val="single"/>
        </w:rPr>
        <w:t xml:space="preserve">(a) Any person to knowingly possess more than a personal use amount of a controlled substance; or</w:t>
      </w:r>
    </w:p>
    <w:p>
      <w:pPr>
        <w:spacing w:before="0" w:after="0" w:line="408" w:lineRule="exact"/>
        <w:ind w:left="0" w:right="0" w:firstLine="576"/>
        <w:jc w:val="left"/>
      </w:pPr>
      <w:r>
        <w:rPr>
          <w:u w:val="single"/>
        </w:rPr>
        <w:t xml:space="preserve">(b) A person under the age of 21 to knowingly possess a controlled substance of any amount</w:t>
      </w:r>
      <w:r>
        <w:rPr/>
        <w:t xml:space="preserve">.</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w:t>
      </w:r>
      <w:r>
        <w:t>))</w:t>
      </w:r>
      <w:r>
        <w:rPr/>
        <w:t xml:space="preserve"> </w:t>
      </w:r>
      <w:r>
        <w:rPr>
          <w:u w:val="single"/>
        </w:rPr>
        <w:t xml:space="preserve">gross misdemeanor</w:t>
      </w:r>
      <w:r>
        <w:rPr/>
        <w:t xml:space="preserve"> punishable under chapter 9A.20 RCW.</w:t>
      </w:r>
    </w:p>
    <w:p>
      <w:pPr>
        <w:spacing w:before="0" w:after="0" w:line="408" w:lineRule="exact"/>
        <w:ind w:left="0" w:right="0" w:firstLine="576"/>
        <w:jc w:val="left"/>
      </w:pPr>
      <w:r>
        <w:rPr/>
        <w:t xml:space="preserve">(3) </w:t>
      </w:r>
      <w:r>
        <w:rPr>
          <w:u w:val="single"/>
        </w:rPr>
        <w:t xml:space="preserve">A person 21 years of age or older who possesses a controlled substance in an amount that does not exceed the applicable personal use amount may be referred to a local diversion program for connection to substance use disorder resources.</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sell</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(b) Any person to knowingly possess more than a personal use amount of any legend drug; or</w:t>
      </w:r>
    </w:p>
    <w:p>
      <w:pPr>
        <w:spacing w:before="0" w:after="0" w:line="408" w:lineRule="exact"/>
        <w:ind w:left="0" w:right="0" w:firstLine="576"/>
        <w:jc w:val="left"/>
      </w:pPr>
      <w:r>
        <w:rPr>
          <w:u w:val="single"/>
        </w:rPr>
        <w:t xml:space="preserve">(c) A person under the age of 21 to knowingly possess a legend drug of any amount.</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Where a case is legally sufficient, the prosecutor shall divert the case for treatment if the alleged violation involving possession is the person's first or second violation. On a person's third and subsequent violation involving possession, the prosecutor may divert the case for treatment.</w:t>
      </w:r>
    </w:p>
    <w:p>
      <w:pPr>
        <w:spacing w:before="0" w:after="0" w:line="408" w:lineRule="exact"/>
        <w:ind w:left="0" w:right="0" w:firstLine="576"/>
        <w:jc w:val="left"/>
      </w:pPr>
      <w:r>
        <w:rPr>
          <w:u w:val="single"/>
        </w:rPr>
        <w:t xml:space="preserve">(4) A person 21 years of age or older who possesses a legend drug in an amount that does not exceed the applicable personal use amount may be referred to a local diversion program for connection to substance use disorder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open a package containing an unauthorized controlled substance or consume an unauthorized controlled substance in view of the general public or in a public place.</w:t>
      </w:r>
    </w:p>
    <w:p>
      <w:pPr>
        <w:spacing w:before="0" w:after="0" w:line="408" w:lineRule="exact"/>
        <w:ind w:left="0" w:right="0" w:firstLine="576"/>
        <w:jc w:val="left"/>
      </w:pPr>
      <w:r>
        <w:rPr>
          <w:u w:val="single"/>
        </w:rPr>
        <w:t xml:space="preserve">(3)</w:t>
      </w:r>
      <w:r>
        <w:rPr/>
        <w:t xml:space="preserve"> For the purposes of this section, "public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2 civil infraction under chapter 7.80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8, and 10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9, and 11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3, and 6 of this act expire July 1, 2023, and sections 17 through 20 of this act take effect July 1, 2023, if the legislature does not adopt legislation by July 1, 2023, in response to the summary report of the substance use recovery services plan as provided in section 12 of this act.</w:t>
      </w:r>
    </w:p>
    <w:p>
      <w:pPr>
        <w:spacing w:before="0" w:after="0" w:line="408" w:lineRule="exact"/>
        <w:ind w:left="0" w:right="0" w:firstLine="576"/>
        <w:jc w:val="left"/>
      </w:pPr>
      <w:r>
        <w:rPr/>
        <w:t xml:space="preserve">(2) If the legislature adopts legislation by July 1, 2023, in response to the summary report of the substance use recovery services plan as provided in section 12 of this act, sections 17 through 20 of this act are null and void.</w:t>
      </w:r>
    </w:p>
    <w:p>
      <w:pPr>
        <w:spacing w:before="0" w:after="0" w:line="408" w:lineRule="exact"/>
        <w:ind w:left="0" w:right="0" w:firstLine="576"/>
        <w:jc w:val="left"/>
      </w:pPr>
      <w:r>
        <w:rPr/>
        <w:t xml:space="preserve">(3) The substance use recovery services advisory committee must provide written notice by July 1, 2023, of the effective dates or expiration dates, or both, under this section and whether the legislature has adopted legislation in response to the summary report of the substance use recovery services plan to affected parties, the chief clerk of the house of representatives, the secretary of the senate, the office of the code reviser, and others deemed appropriate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8, 10, and 12 through 16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831</w:t>
      </w:r>
    </w:p>
    <w:p>
      <w:pPr>
        <w:spacing w:before="0" w:after="0" w:line="408" w:lineRule="exact"/>
        <w:ind w:left="0" w:right="0" w:firstLine="576"/>
        <w:jc w:val="left"/>
      </w:pPr>
      <w:r>
        <w:rPr/>
        <w:t xml:space="preserve">By Senator Pedersen</w:t>
      </w:r>
    </w:p>
    <w:p>
      <w:pPr>
        <w:jc w:val="right"/>
      </w:pPr>
      <w:r>
        <w:rPr>
          <w:b/>
        </w:rPr>
        <w:t xml:space="preserve">ADOPTED AS AMENDED 04/15/2021</w:t>
      </w:r>
    </w:p>
    <w:p>
      <w:pPr>
        <w:spacing w:before="0" w:after="0" w:line="408" w:lineRule="exact"/>
        <w:ind w:left="0" w:right="0" w:firstLine="576"/>
        <w:jc w:val="left"/>
      </w:pPr>
      <w:r>
        <w:rPr/>
        <w:t xml:space="preserve">On page 1, line 1 of the title, after "Relating to" strike the remainder of the title and insert "responding to the </w:t>
      </w:r>
      <w:r>
        <w:rPr>
          <w:i/>
        </w:rPr>
        <w:t xml:space="preserve">State v. Blake</w:t>
      </w:r>
      <w:r>
        <w:rPr/>
        <w:t xml:space="preserve"> decision by addressing justice system responses and behavioral health prevention, treatment, and related services for individuals using or possessing controlled substances, counterfeit substances, and legend drugs; amending RCW 69.50.4011, 69.50.4013, 69.50.412, 69.41.030, 69.41.030, 69.41.010, 69.50.101, 2.24.010, 2.24.040, 9.94A.728, 69.50.4011, 69.50.4013, 69.41.030, and 69.50.445; reenacting and amending RCW 69.41.010 and 69.50.101; adding a new section to chapter 71.24 RCW; adding a new section to chapter 41.05 RCW; creating new sections; prescribing penalties; providing an effective date; providing a contingent effective date; providing expiration dates; providing a contingent expiration date; and declaring an emergency."</w:t>
      </w:r>
    </w:p>
    <w:p>
      <w:pPr>
        <w:spacing w:before="0" w:after="0" w:line="408" w:lineRule="exact"/>
        <w:ind w:left="0" w:right="0" w:firstLine="576"/>
        <w:jc w:val="left"/>
      </w:pPr>
      <w:r>
        <w:rPr>
          <w:u w:val="single"/>
        </w:rPr>
        <w:t xml:space="preserve">EFFECT:</w:t>
      </w:r>
      <w:r>
        <w:rPr/>
        <w:t xml:space="preserve"> (1) Amends the title;</w:t>
      </w:r>
    </w:p>
    <w:p>
      <w:pPr>
        <w:spacing w:before="0" w:after="0" w:line="408" w:lineRule="exact"/>
        <w:ind w:left="0" w:right="0" w:firstLine="576"/>
        <w:jc w:val="left"/>
      </w:pPr>
      <w:r>
        <w:rPr/>
        <w:t xml:space="preserve">(2) Adds intent statement, including intent to increase funding for substance use disorder treatment programs;</w:t>
      </w:r>
    </w:p>
    <w:p>
      <w:pPr>
        <w:spacing w:before="0" w:after="0" w:line="408" w:lineRule="exact"/>
        <w:ind w:left="0" w:right="0" w:firstLine="576"/>
        <w:jc w:val="left"/>
      </w:pPr>
      <w:r>
        <w:rPr/>
        <w:t xml:space="preserve">(3) Reinstates criminal penalties for possession of personal use amounts of controlled substances, counterfeit substances, and legend drugs;</w:t>
      </w:r>
    </w:p>
    <w:p>
      <w:pPr>
        <w:spacing w:before="0" w:after="0" w:line="408" w:lineRule="exact"/>
        <w:ind w:left="0" w:right="0" w:firstLine="576"/>
        <w:jc w:val="left"/>
      </w:pPr>
      <w:r>
        <w:rPr/>
        <w:t xml:space="preserve">(4) Decreases criminal penalty for possession of controlled substances and counterfeit substances from a felony to a gross misdemeanor;</w:t>
      </w:r>
    </w:p>
    <w:p>
      <w:pPr>
        <w:spacing w:before="0" w:after="0" w:line="408" w:lineRule="exact"/>
        <w:ind w:left="0" w:right="0" w:firstLine="576"/>
        <w:jc w:val="left"/>
      </w:pPr>
      <w:r>
        <w:rPr/>
        <w:t xml:space="preserve">(5) Requires the prosecutor to divert a person's first and second violations for possession of a controlled substance, counterfeit substance, or legend drug and encourages diversion thereafter when agreed by the prosecutor;</w:t>
      </w:r>
    </w:p>
    <w:p>
      <w:pPr>
        <w:spacing w:before="0" w:after="0" w:line="408" w:lineRule="exact"/>
        <w:ind w:left="0" w:right="0" w:firstLine="576"/>
        <w:jc w:val="left"/>
      </w:pPr>
      <w:r>
        <w:rPr/>
        <w:t xml:space="preserve">(6) Retains provisions removing criminal penalties for possessing drug paraphernalia for personal use;</w:t>
      </w:r>
    </w:p>
    <w:p>
      <w:pPr>
        <w:spacing w:before="0" w:after="0" w:line="408" w:lineRule="exact"/>
        <w:ind w:left="0" w:right="0" w:firstLine="576"/>
        <w:jc w:val="left"/>
      </w:pPr>
      <w:r>
        <w:rPr/>
        <w:t xml:space="preserve">(7) Removes provision directing funds from the civil infraction be deposited in the State v. Blake reimbursement account;</w:t>
      </w:r>
    </w:p>
    <w:p>
      <w:pPr>
        <w:spacing w:before="0" w:after="0" w:line="408" w:lineRule="exact"/>
        <w:ind w:left="0" w:right="0" w:firstLine="576"/>
        <w:jc w:val="left"/>
      </w:pPr>
      <w:r>
        <w:rPr/>
        <w:t xml:space="preserve">(8) Requires the Health Care Authority (HCA) to adopt rules establishing maximum personal use amounts of controlled substances by October 1, 2022;</w:t>
      </w:r>
    </w:p>
    <w:p>
      <w:pPr>
        <w:spacing w:before="0" w:after="0" w:line="408" w:lineRule="exact"/>
        <w:ind w:left="0" w:right="0" w:firstLine="576"/>
        <w:jc w:val="left"/>
      </w:pPr>
      <w:r>
        <w:rPr/>
        <w:t xml:space="preserve">(9) Defines personal use amount in statute as the amounts established by the HCA;</w:t>
      </w:r>
    </w:p>
    <w:p>
      <w:pPr>
        <w:spacing w:before="0" w:after="0" w:line="408" w:lineRule="exact"/>
        <w:ind w:left="0" w:right="0" w:firstLine="576"/>
        <w:jc w:val="left"/>
      </w:pPr>
      <w:r>
        <w:rPr/>
        <w:t xml:space="preserve">(10) Requires the HCA to establish the substance use recovery services advisory committee to make recommendations for implementation of a substance use recovery services plan, including recommended reforms to the law;</w:t>
      </w:r>
    </w:p>
    <w:p>
      <w:pPr>
        <w:spacing w:before="0" w:after="0" w:line="408" w:lineRule="exact"/>
        <w:ind w:left="0" w:right="0" w:firstLine="576"/>
        <w:jc w:val="left"/>
      </w:pPr>
      <w:r>
        <w:rPr/>
        <w:t xml:space="preserve">(11) Authorizes the presiding judge of the superior court of any county in the state to appoint court commissioners to assist the court with adult criminal cases, including the authority to conduct resentencing hearings and vacate convictions pursuant to </w:t>
      </w:r>
      <w:r>
        <w:rPr>
          <w:i/>
        </w:rPr>
        <w:t xml:space="preserve">State v. Blake</w:t>
      </w:r>
      <w:r>
        <w:rPr/>
        <w:t xml:space="preserve">;</w:t>
      </w:r>
    </w:p>
    <w:p>
      <w:pPr>
        <w:spacing w:before="0" w:after="0" w:line="408" w:lineRule="exact"/>
        <w:ind w:left="0" w:right="0" w:firstLine="576"/>
        <w:jc w:val="left"/>
      </w:pPr>
      <w:r>
        <w:rPr/>
        <w:t xml:space="preserve">(12) Clarifies a person may be released from confinement if </w:t>
      </w:r>
      <w:r>
        <w:rPr>
          <w:i/>
        </w:rPr>
        <w:t xml:space="preserve">State v. Blake</w:t>
      </w:r>
      <w:r>
        <w:rPr/>
        <w:t xml:space="preserve"> results in vacation of the person's conviction or resentencing and the person has served a term of confinement in excess of the new sentence;</w:t>
      </w:r>
    </w:p>
    <w:p>
      <w:pPr>
        <w:spacing w:before="0" w:after="0" w:line="408" w:lineRule="exact"/>
        <w:ind w:left="0" w:right="0" w:firstLine="576"/>
        <w:jc w:val="left"/>
      </w:pPr>
      <w:r>
        <w:rPr/>
        <w:t xml:space="preserve">(13) If the legislature does not act by July 1, 2023, institutes provisions removing criminal penalties for possession of a personal use amount of a controlled substance, counterfeit substance, or legend drug for persons 21 years of age or older and creating a civil infraction for using controlled substances in public.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d2d3f89524325" /></Relationships>
</file>