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d49b72e4f41b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5576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at the beginning of line 36, strike "as provided in RCW 59.18.290" and insert "</w:t>
      </w:r>
      <w:r>
        <w:t>((</w:t>
      </w:r>
      <w:r>
        <w:rPr>
          <w:strike/>
        </w:rPr>
        <w:t xml:space="preserve">as provided in RCW 59.18.290</w:t>
      </w:r>
      <w:r>
        <w:t>))</w:t>
      </w:r>
      <w:r>
        <w:rPr>
          <w:u w:val="single"/>
        </w:rPr>
        <w:t xml:space="preserve">. However, if the court makes a finding that the landlord acted in bad faith, the landlord is not entitled to an award of reasonable attorneys' fees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prohibition on attorneys' fees and costs except where the court makes a finding that the landlord acted in bad faith.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dc298a74b4c38" /></Relationships>
</file>