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0f06f4ff6439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5585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S4265.1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5585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4, after "(2)" strike all material through "</w:t>
      </w:r>
      <w:r>
        <w:rPr>
          <w:strike/>
        </w:rPr>
        <w:t xml:space="preserve">(3)</w:t>
      </w:r>
      <w:r>
        <w:rPr/>
        <w:t xml:space="preserve">))" on line 9 and insert "The annual fee paid by a municipality, as defined in 33 U.S.C. Sec. 1362, for all domestic wastewater facility permits issued under RCW 90.48.162 and 90.48.260 shall not exceed the total of a maximum of eighteen cents per month per residence or residential equivalent contributing to the municipality's wastewater system. </w:t>
      </w:r>
      <w:r>
        <w:rPr>
          <w:u w:val="single"/>
        </w:rPr>
        <w:t xml:space="preserve">Beginning in 2023, these fees may rise in accordance with the fiscal growth factor as provided in chapter 43.135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7, strike all of section 2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5585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"fees;" strike the remainder of the title and insert "and reenacting and amending RCW 90.48.465."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Reinstates the water quality permit fee cap. Specifies the fee rate may be adjusted based on the Washington state fiscal growth factor. Removes the advisory committee.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ae29569b2474a" /></Relationships>
</file>