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e516c246b49a5" /></Relationships>
</file>

<file path=word/document.xml><?xml version="1.0" encoding="utf-8"?>
<w:document xmlns:w="http://schemas.openxmlformats.org/wordprocessingml/2006/main">
  <w:body>
    <w:p>
      <w:r>
        <w:t>H-0915.1</w:t>
      </w:r>
    </w:p>
    <w:p>
      <w:pPr>
        <w:jc w:val="center"/>
      </w:pPr>
      <w:r>
        <w:t>_______________________________________________</w:t>
      </w:r>
    </w:p>
    <w:p/>
    <w:p>
      <w:pPr>
        <w:jc w:val="center"/>
      </w:pPr>
      <w:r>
        <w:rPr>
          <w:b/>
        </w:rPr>
        <w:t>SECOND SUBSTITUTE HOUSE BILL 1050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Fitzgibbon, Ortiz-Self, Leavitt, Duerr, Chopp, Ramel, Peterson, Goodman, Ryu, Callan, Ramos, Ormsby, Pollet, Stonier, Fey, Macri, and Bergquist)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fluorinated gases; amending RCW 70A.15.6410, 70A.15.6420, 70A.15.6430, 70A.45.080, 19.27.580, 70A.15.1010, 70A.15.3150, 70A.15.3160, 19.285.040, 19.27A.220, and 39.26.310; reenacting and amending RCW 70A.45.010; adding a new chapter to Title 70A RCW; creating new sections; recodifying RCW 70A.45.080, 70A.15.6410, 70A.15.6420, and 70A.15.6430;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 750 for use in new equipment manufactured after December 31, 2021, for installation in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0" w:after="0" w:line="408" w:lineRule="exact"/>
        <w:ind w:left="0" w:right="0" w:firstLine="576"/>
        <w:jc w:val="left"/>
      </w:pPr>
      <w:r>
        <w:rPr/>
        <w:t xml:space="preserve">(6)(a) Prior to adopting final rules to implement restrictions under subsection (2) or (3) of this section, the department must review the availability of:</w:t>
      </w:r>
    </w:p>
    <w:p>
      <w:pPr>
        <w:spacing w:before="0" w:after="0" w:line="408" w:lineRule="exact"/>
        <w:ind w:left="0" w:right="0" w:firstLine="576"/>
        <w:jc w:val="left"/>
      </w:pPr>
      <w:r>
        <w:rPr/>
        <w:t xml:space="preserve">(i) Equipment that meets applicable global warming potential requirements; and</w:t>
      </w:r>
    </w:p>
    <w:p>
      <w:pPr>
        <w:spacing w:before="0" w:after="0" w:line="408" w:lineRule="exact"/>
        <w:ind w:left="0" w:right="0" w:firstLine="576"/>
        <w:jc w:val="left"/>
      </w:pPr>
      <w:r>
        <w:rPr/>
        <w:t xml:space="preserve">(ii) Appropriate training to utilize equipment that meets applicable global warming potential requirements.</w:t>
      </w:r>
    </w:p>
    <w:p>
      <w:pPr>
        <w:spacing w:before="0" w:after="0" w:line="408" w:lineRule="exact"/>
        <w:ind w:left="0" w:right="0" w:firstLine="576"/>
        <w:jc w:val="left"/>
      </w:pPr>
      <w:r>
        <w:rPr/>
        <w:t xml:space="preserve">(b) After the review required under (a) of this subsection, the department is encouraged to consider delaying the effective date of restrictions under this section in the event that the department determines that significant training or compliant equipment availability limitations are expected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January 1, 2024, and no earlier than the adjournment of the regular legislative session following the submission of a report to the appropriate committees of the legislature by the department estimating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at a single facility from registration, reporting, and leak detection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facility with stationary refrigeration systems or air conditioning systems that exceed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 and</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 The building code council may not prohibit the use of a substitute refrigerant allowed pursuant to the United States environmental protection agency's significant new alternatives policy to implement 42 U.S.C. Sec. 7671k</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to the maximum extent practicable after soliciting stakeholder input regarding building occupant safety and reviewing applicable provisions of the fire code or best practices to reduce fire risks.</w:t>
      </w:r>
    </w:p>
    <w:p>
      <w:pPr>
        <w:spacing w:before="0" w:after="0" w:line="408" w:lineRule="exact"/>
        <w:ind w:left="0" w:right="0" w:firstLine="576"/>
        <w:jc w:val="left"/>
      </w:pPr>
      <w:r>
        <w:rPr>
          <w:u w:val="single"/>
        </w:rPr>
        <w:t xml:space="preserve">(3) The building code council may adopt rules that allow the use of substitutes that are under review but have not yet been approved by the United States environmental protection agency's significant new alternatives policy to implement 42 U.S.C. Sec. 7671k for products where no other substitutes have been approved.</w:t>
      </w:r>
    </w:p>
    <w:p>
      <w:pPr>
        <w:spacing w:before="0" w:after="0" w:line="408" w:lineRule="exact"/>
        <w:ind w:left="0" w:right="0" w:firstLine="576"/>
        <w:jc w:val="left"/>
      </w:pPr>
      <w:r>
        <w:rPr>
          <w:u w:val="single"/>
        </w:rPr>
        <w:t xml:space="preserve">(4)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(5) Prior to the adoption of any rules by the building code council that affect the design or installation of refrigeration or air conditioning systems or that facilitate the use of substitutes with a low global warming potential in air conditioning systems or equipment, the building code council must solicit input from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(a) Manufacturers, distributors, and installers of refrigeration and air conditioning systems;  and</w:t>
      </w:r>
    </w:p>
    <w:p>
      <w:pPr>
        <w:spacing w:before="0" w:after="0" w:line="408" w:lineRule="exact"/>
        <w:ind w:left="0" w:right="0" w:firstLine="576"/>
        <w:jc w:val="left"/>
      </w:pPr>
      <w:r>
        <w:rPr>
          <w:u w:val="single"/>
        </w:rPr>
        <w:t xml:space="preserve">(b)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and must consider actions taken by other jurisdictions to incentivize refrigerant reuse or reclamation.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assessing the cost-effective conservation required under this section, a qualifying utility is encouraged to promote cost-effective energy conservation efforts that reduce overall greenhouse gas emissions, including through the adoption of air conditioning equipment with refrigerants not exceeding a global warming potential of 750.</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cdc41ce932245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92fcc2593483a" /><Relationship Type="http://schemas.openxmlformats.org/officeDocument/2006/relationships/footer" Target="/word/footer1.xml" Id="Racdc41ce9322453e" /></Relationships>
</file>