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70c7ff6844ec7" /></Relationships>
</file>

<file path=word/document.xml><?xml version="1.0" encoding="utf-8"?>
<w:document xmlns:w="http://schemas.openxmlformats.org/wordprocessingml/2006/main">
  <w:body>
    <w:p>
      <w:r>
        <w:t>H-0090.2</w:t>
      </w:r>
    </w:p>
    <w:p>
      <w:pPr>
        <w:jc w:val="center"/>
      </w:pPr>
      <w:r>
        <w:t>_______________________________________________</w:t>
      </w:r>
    </w:p>
    <w:p/>
    <w:p>
      <w:pPr>
        <w:jc w:val="center"/>
      </w:pPr>
      <w:r>
        <w:rPr>
          <w:b/>
        </w:rPr>
        <w:t>HOUSE BILL 1057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Valdez, Fitzgibbon, Ryu, Ramel, and Duerr</w:t>
      </w:r>
    </w:p>
    <w:p/>
    <w:p>
      <w:r>
        <w:rPr>
          <w:t xml:space="preserve">Prefiled 12/28/20.</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meaning of the term "enjoyment of life and property" within the clean air act; amending RCW 70A.15.1030;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Stationary air sources that emit noxious odors or other air contaminants have repeatedly been found to impair the ability of the public to utilize publicly owned recreational facilities, parks, and common spaces. The legislature finds that unimpaired use of publicly owned open spaces is important for public health. Enforcement of the clean air act's prohibition on air pollution in the context of the public's enjoyment of publicly owned spaces has been difficult due to uncertainty concerning the scope of the term "enjoyment of life and property" as used in the clean air act's definition of "pollution." Therefore, it is the intent of the legislature to clarify that unreasonable interference with enjoyment of life and property, as those terms are used in the clean air act, includes unreasonable interference with the public's enjoyment and use of public properties including, but not limited to, bicycle or pedestrian trails, parks, and town commons.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w:t>
      </w:r>
      <w:r>
        <w:rPr>
          <w:u w:val="single"/>
        </w:rPr>
        <w:t xml:space="preserve">(a)</w:t>
      </w:r>
      <w:r>
        <w:rPr/>
        <w:t xml:space="preserve">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w:t>
      </w:r>
    </w:p>
    <w:p>
      <w:pPr>
        <w:spacing w:before="0" w:after="0" w:line="408" w:lineRule="exact"/>
        <w:ind w:left="0" w:right="0" w:firstLine="576"/>
        <w:jc w:val="left"/>
      </w:pPr>
      <w:r>
        <w:rPr>
          <w:u w:val="single"/>
        </w:rPr>
        <w:t xml:space="preserve">(b)</w:t>
      </w:r>
      <w:r>
        <w:rPr/>
        <w:t xml:space="preserve"> For the purpose of this chapter, air pollution shall not include air contaminants emitted in compliance with chapter 17.21 RCW.</w:t>
      </w:r>
    </w:p>
    <w:p>
      <w:pPr>
        <w:spacing w:before="0" w:after="0" w:line="408" w:lineRule="exact"/>
        <w:ind w:left="0" w:right="0" w:firstLine="576"/>
        <w:jc w:val="left"/>
      </w:pPr>
      <w:r>
        <w:rPr>
          <w:u w:val="single"/>
        </w:rPr>
        <w:t xml:space="preserve">(c) For the purpose of this chapter, "enjoyment of life and property" may include a person's use or enjoyment of a public park, public recreational facility or trail, or publicly owned commons of any municipal government or state agency.</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70A.15.2260.</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70A.15.5120.</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70A.15.3580.</w:t>
      </w:r>
    </w:p>
    <w:p/>
    <w:p>
      <w:pPr>
        <w:jc w:val="center"/>
      </w:pPr>
      <w:r>
        <w:rPr>
          <w:b/>
        </w:rPr>
        <w:t>--- END ---</w:t>
      </w:r>
    </w:p>
    <w:sectPr>
      <w:pgNumType w:start="1"/>
      <w:footerReference xmlns:r="http://schemas.openxmlformats.org/officeDocument/2006/relationships" r:id="R390196616b3d41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cdf2425724f90" /><Relationship Type="http://schemas.openxmlformats.org/officeDocument/2006/relationships/footer" Target="/word/footer1.xml" Id="R390196616b3d41bf" /></Relationships>
</file>