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b1a9e0ce94a80" /></Relationships>
</file>

<file path=word/document.xml><?xml version="1.0" encoding="utf-8"?>
<w:document xmlns:w="http://schemas.openxmlformats.org/wordprocessingml/2006/main">
  <w:body>
    <w:p>
      <w:r>
        <w:t>H-0820.1</w:t>
      </w:r>
    </w:p>
    <w:p>
      <w:pPr>
        <w:jc w:val="center"/>
      </w:pPr>
      <w:r>
        <w:t>_______________________________________________</w:t>
      </w:r>
    </w:p>
    <w:p/>
    <w:p>
      <w:pPr>
        <w:jc w:val="center"/>
      </w:pPr>
      <w:r>
        <w:rPr>
          <w:b/>
        </w:rPr>
        <w:t>SECOND SUBSTITUTE HOUSE BILL 1091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46.17.365, 46.25.100, 46.20.202, 46.25.052, 46.25.060, 70A.15.3150, 70A.15.3160, 19.112.110, and 19.112.120; adding a new section to chapter 82.04 RCW; adding a new chapter to Title 70A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(9)(a) "Green hydrogen" means hydrogen produced using: (i) Electricity that meets the carbon neutrality standard of RCW 19.405.040 by 2030 and carbon-free standard of RCW 19.405.040 by 2045 for the energy input into the production process; and (ii) renewable resources for the source of the hydrogen.</w:t>
      </w:r>
    </w:p>
    <w:p>
      <w:pPr>
        <w:spacing w:before="0" w:after="0" w:line="408" w:lineRule="exact"/>
        <w:ind w:left="0" w:right="0" w:firstLine="576"/>
        <w:jc w:val="left"/>
      </w:pPr>
      <w:r>
        <w:rPr/>
        <w:t xml:space="preserve">(b) "Green hydrogen" includes renewable hydrogen.</w:t>
      </w:r>
    </w:p>
    <w:p>
      <w:pPr>
        <w:spacing w:before="0" w:after="0" w:line="408" w:lineRule="exact"/>
        <w:ind w:left="0" w:right="0" w:firstLine="576"/>
        <w:jc w:val="left"/>
      </w:pPr>
      <w:r>
        <w:rPr/>
        <w:t xml:space="preserve">(10) "Greenhouse gas" has the same meaning as defined in RCW 70A.45.010.</w:t>
      </w:r>
    </w:p>
    <w:p>
      <w:pPr>
        <w:spacing w:before="0" w:after="0" w:line="408" w:lineRule="exact"/>
        <w:ind w:left="0" w:right="0" w:firstLine="576"/>
        <w:jc w:val="left"/>
      </w:pPr>
      <w:r>
        <w:rPr/>
        <w:t xml:space="preserve">(11)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(12) "Motor vehicle" has the same meaning as defined in RCW 46.04.320.</w:t>
      </w:r>
    </w:p>
    <w:p>
      <w:pPr>
        <w:spacing w:before="0" w:after="0" w:line="408" w:lineRule="exact"/>
        <w:ind w:left="0" w:right="0" w:firstLine="576"/>
        <w:jc w:val="left"/>
      </w:pPr>
      <w:r>
        <w:rPr/>
        <w:t xml:space="preserve">(13)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(14)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(15) "Renewable resource" means: (a) Water; (b) wind; (c) solar energy; (d) geothermal energy; (e) renewable natural gas as defined in RCW 54.04.190; (f) renewable hydrogen; (g) wave, ocean, or tidal power; (h) biodiesel fuel that is not derived from crops raised on land cleared from old growth or first growth forests where the clearing occurred after December 7, 2006; or (i) biomass energy.</w:t>
      </w:r>
    </w:p>
    <w:p>
      <w:pPr>
        <w:spacing w:before="0" w:after="0" w:line="408" w:lineRule="exact"/>
        <w:ind w:left="0" w:right="0" w:firstLine="576"/>
        <w:jc w:val="left"/>
      </w:pPr>
      <w:r>
        <w:rPr/>
        <w:t xml:space="preserve">(16)(a)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(17)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 Transportation fuels exported from Washington are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green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green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80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(8)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battery or fuel cell electric vehicles by a commercial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low-carbon fuel infrastructure not specified in (a) of this subsection.</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For the 50 percent of revenues not subject to the requirements of subsection (1) of this section, the department, in consultation with the utilities and transportation commission, must adopt requirements for the expenditure of revenues from credits earned from the electricity supplied to retail customers by an electric utility under the clean fuels program. The department must require that at least some portion of the 50 percent of revenues subject to this subsection be used by each electric utility for the establishment of a clean fuel reward program that provides a price reduction on new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an ex ante independent analysis of the information specified in subsection (1)(c) of this section for each year of the program through 2035.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24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24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24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24 of this act) RCW, the requirements of chapter 70A.--- (the new chapter created in section 24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24 of this act) RCW, the requirements of chapter 70A.--- (the new chapter created in section 24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0d02c66aba6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3695eb02c4c55" /><Relationship Type="http://schemas.openxmlformats.org/officeDocument/2006/relationships/footer" Target="/word/footer1.xml" Id="R20d02c66aba64185" /></Relationships>
</file>