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15c795ab8401d" /></Relationships>
</file>

<file path=word/document.xml><?xml version="1.0" encoding="utf-8"?>
<w:document xmlns:w="http://schemas.openxmlformats.org/wordprocessingml/2006/main">
  <w:body>
    <w:p>
      <w:r>
        <w:t>Z-0160.1</w:t>
      </w:r>
    </w:p>
    <w:p>
      <w:pPr>
        <w:jc w:val="center"/>
      </w:pPr>
      <w:r>
        <w:t>_______________________________________________</w:t>
      </w:r>
    </w:p>
    <w:p/>
    <w:p>
      <w:pPr>
        <w:jc w:val="center"/>
      </w:pPr>
      <w:r>
        <w:rPr>
          <w:b/>
        </w:rPr>
        <w:t>HOUSE BILL 1093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Gregerson, Bergquist, and Macri; by request of Office of the Governor</w:t>
      </w:r>
    </w:p>
    <w:p/>
    <w:p>
      <w:r>
        <w:rPr>
          <w:t xml:space="preserve">Prefiled 01/06/21.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43.88.585; amending 2020 c 357 ss 101, 102, 103, 104, 105, 107, 108, 113, 115, 116, 117, 118, 119, 120, 121, 122, 125, 126, 127, 129, 130, 131, 132, 133, 134, 135, 136, 137, 138, 139, 140, 141, 142, 143, 144, 145, 147, 148, 149, 150, 201, 202, 203, 204, 205, 206, 207, 208, 209, 210, 211, 212, 213, 214, 215, 216, 217, 218, 219, 220, 221, 222, 223, 224, 225, 301, 302, 303, 304, 305, 306, 307, 308, 309, 310, 311, 401, 402, 501, 502, 503, 505, 506, 507, 509, 510, 511, 513, 514, 515, 516, 517, 518, 519, 520, 602, 603, 604, 605, 606, 607, 608, 609, 610, 611, 617, 612, 613, 614, 615, 616, 701, 702, 703, 704, 706, 707, 801, 804, and 907, and 2019 c 406 s 4 (uncodified); adding new sections to 2020 c 357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$41,560,000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$86,204,000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$30,461,000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$62,104,000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$71,852,000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$213,813,000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u w:val="single"/>
        </w:rPr>
        <w:t xml:space="preserve">Appropriation</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$169,163,000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$129,348,000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$21,091,000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$15,096,000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$815,658,000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(114) $22,069,000 of the general fund</w:t>
      </w:r>
      <w:r>
        <w:rPr>
          <w:rFonts w:ascii="Times New Roman" w:hAnsi="Times New Roman"/>
          <w:u w:val="single"/>
        </w:rPr>
        <w:t xml:space="preserve">—</w:t>
      </w:r>
      <w:r>
        <w:rPr>
          <w:u w:val="single"/>
        </w:rPr>
        <w:t xml:space="preserve">state appropriation for fiscal year 2021 and $41,931,000 of the home security fund account</w:t>
      </w:r>
      <w:r>
        <w:rPr>
          <w:rFonts w:ascii="Times New Roman" w:hAnsi="Times New Roman"/>
          <w:u w:val="single"/>
        </w:rPr>
        <w:t xml:space="preserve">—</w:t>
      </w:r>
      <w:r>
        <w:rPr>
          <w:u w:val="single"/>
        </w:rPr>
        <w:t xml:space="preserve">state appropriation are provided solely for the department to administer a rental assistance program that provides grant funding. To be eligible for the program, applicants must, at a minimum, have an income at or below 80 percent of the area median income, and have a missed or partially paid rent payment. Rental payments made through the program will be provided directly to landlords. The department may also determine additional eligibility criteria in order to target these resources to households most likely to become homeless if they do not receive rental assistance.</w:t>
      </w:r>
    </w:p>
    <w:p>
      <w:pPr>
        <w:spacing w:before="0" w:after="0" w:line="408" w:lineRule="exact"/>
        <w:ind w:left="0" w:right="0" w:firstLine="576"/>
        <w:jc w:val="left"/>
      </w:pPr>
      <w:r>
        <w:rPr>
          <w:u w:val="single"/>
        </w:rPr>
        <w:t xml:space="preserve">(115) $3,875,000 of the general fund</w:t>
      </w:r>
      <w:r>
        <w:rPr>
          <w:rFonts w:ascii="Times New Roman" w:hAnsi="Times New Roman"/>
          <w:u w:val="single"/>
        </w:rPr>
        <w:t xml:space="preserve">—</w:t>
      </w:r>
      <w:r>
        <w:rPr>
          <w:u w:val="single"/>
        </w:rPr>
        <w:t xml:space="preserve">state appropriation for fiscal year 2021 is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$32,921,000</w:t>
      </w:r>
      <w:r>
        <w:t>))</w:t>
      </w:r>
    </w:p>
    <w:p>
      <w:pPr>
        <w:spacing w:before="0" w:after="0" w:line="408" w:lineRule="exact"/>
        <w:ind w:left="0" w:right="0" w:firstLine="0"/>
        <w:jc w:val="left"/>
        <w:tabs>
          <w:tab w:val="right" w:leader="none" w:pos="9936"/>
        </w:tabs>
      </w:pPr>
      <w:r>
        <w:tab/>
      </w:r>
      <w:r>
        <w:rPr>
          <w:u w:val="single"/>
        </w:rPr>
        <w:t xml:space="preserve">$34,248,000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$175,351,000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w:t>
      </w:r>
      <w:r>
        <w:t>((</w:t>
      </w:r>
      <w:r>
        <w:rPr>
          <w:strike/>
        </w:rPr>
        <w:t xml:space="preserve">in fiscal year 2021</w:t>
      </w:r>
      <w:r>
        <w:t>))</w:t>
      </w:r>
      <w:r>
        <w:rPr/>
        <w:t xml:space="preserve">.</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w:t>
      </w:r>
      <w:r>
        <w:t>((</w:t>
      </w:r>
      <w:r>
        <w:rPr>
          <w:strike/>
        </w:rPr>
        <w:t xml:space="preserve">in fiscal year 2021</w:t>
      </w:r>
      <w:r>
        <w:t>))</w:t>
      </w:r>
      <w:r>
        <w:rPr/>
        <w:t xml:space="preserve">.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w:t>
      </w:r>
      <w:r>
        <w:t>((</w:t>
      </w:r>
      <w:r>
        <w:rPr>
          <w:strike/>
        </w:rPr>
        <w:t xml:space="preserve">in fiscal year 2021</w:t>
      </w:r>
      <w:r>
        <w:t>))</w:t>
      </w:r>
      <w:r>
        <w:rPr/>
        <w:t xml:space="preserve">.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w:t>
      </w:r>
      <w:r>
        <w:t>((</w:t>
      </w:r>
      <w:r>
        <w:rPr>
          <w:strike/>
        </w:rPr>
        <w:t xml:space="preserve">in fiscal year 2021</w:t>
      </w:r>
      <w:r>
        <w:t>))</w:t>
      </w:r>
      <w:r>
        <w:rPr/>
        <w:t xml:space="preserve">.</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$68,917,000</w:t>
      </w:r>
      <w:r>
        <w:t>))</w:t>
      </w:r>
    </w:p>
    <w:p>
      <w:pPr>
        <w:spacing w:before="0" w:after="0" w:line="408" w:lineRule="exact"/>
        <w:ind w:left="0" w:right="0" w:firstLine="0"/>
        <w:jc w:val="left"/>
        <w:tabs>
          <w:tab w:val="right" w:leader="none" w:pos="9936"/>
        </w:tabs>
      </w:pPr>
      <w:r>
        <w:tab/>
      </w:r>
      <w:r>
        <w:rPr>
          <w:u w:val="single"/>
        </w:rPr>
        <w:t xml:space="preserve">$68,584,000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$1,784,000</w:t>
      </w:r>
    </w:p>
    <w:p>
      <w:pPr>
        <w:tabs>
          <w:tab w:val="right" w:leader="dot" w:pos="9936"/>
        </w:tabs>
        <w:ind w:left="0" w:right="0" w:firstLine="1440"/>
      </w:pPr>
      <w:r>
        <w:rPr/>
        <w:t xml:space="preserve">TOTAL APPROPRIATION</w:t>
      </w:r>
      <w:r>
        <w:tab/>
      </w:r>
      <w:r>
        <w:t>((</w:t>
      </w:r>
      <w:r>
        <w:rPr>
          <w:strike/>
        </w:rPr>
        <w:t xml:space="preserve">$75,362,000</w:t>
      </w:r>
      <w:r>
        <w:t>))</w:t>
      </w:r>
    </w:p>
    <w:p>
      <w:pPr>
        <w:tabs>
          <w:tab w:val="right" w:leader="none" w:pos="9936"/>
        </w:tabs>
        <w:ind w:left="0" w:right="0" w:firstLine="1440"/>
      </w:pPr>
      <w:r>
        <w:tab/>
      </w:r>
      <w:r>
        <w:rPr>
          <w:u w:val="single"/>
        </w:rPr>
        <w:t xml:space="preserve">$75,029,000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t xml:space="preserve">(10) $333,000 of the insurance commissioners regulatory account</w:t>
      </w:r>
      <w:r>
        <w:rPr>
          <w:rFonts w:ascii="Times New Roman" w:hAnsi="Times New Roman"/>
        </w:rPr>
        <w:t xml:space="preserve">—</w:t>
      </w:r>
      <w:r>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t xml:space="preserve">(11) $1,784,000 of the insurance commissioners fraud account</w:t>
      </w:r>
      <w:r>
        <w:rPr>
          <w:rFonts w:ascii="Times New Roman" w:hAnsi="Times New Roman"/>
        </w:rPr>
        <w:t xml:space="preserve">—</w:t>
      </w:r>
      <w:r>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t xml:space="preserve">(12) $10,000 of the insurance commissioners regulatory account</w:t>
      </w:r>
      <w:r>
        <w:rPr>
          <w:rFonts w:ascii="Times New Roman" w:hAnsi="Times New Roman"/>
        </w:rPr>
        <w:t xml:space="preserve">—</w:t>
      </w:r>
      <w:r>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t xml:space="preserve">(13) $61,000 of the insurance commissioners regulatory account</w:t>
      </w:r>
      <w:r>
        <w:rPr>
          <w:rFonts w:ascii="Times New Roman" w:hAnsi="Times New Roman"/>
        </w:rPr>
        <w:t xml:space="preserve">—</w:t>
      </w:r>
      <w:r>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t xml:space="preserve">(14) $30,000 of the insurance commissioners regulatory account</w:t>
      </w:r>
      <w:r>
        <w:rPr>
          <w:rFonts w:ascii="Times New Roman" w:hAnsi="Times New Roman"/>
        </w:rPr>
        <w:t xml:space="preserve">—</w:t>
      </w:r>
      <w:r>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t xml:space="preserve">(15) $45,000 of the insurance commissioners regulatory account</w:t>
      </w:r>
      <w:r>
        <w:rPr>
          <w:rFonts w:ascii="Times New Roman" w:hAnsi="Times New Roman"/>
        </w:rPr>
        <w:t xml:space="preserve">—</w:t>
      </w:r>
      <w:r>
        <w:rPr/>
        <w:t xml:space="preserve">state appropriation is provided solely for the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(16) $323,000 of the insurance commissioners regulatory account</w:t>
      </w:r>
      <w:r>
        <w:rPr>
          <w:rFonts w:ascii="Times New Roman" w:hAnsi="Times New Roman"/>
        </w:rPr>
        <w:t xml:space="preserve">—</w:t>
      </w:r>
      <w:r>
        <w:rPr/>
        <w:t xml:space="preserve">state appropriation is provided solely for the implementation of Engrossed Second Substitute Senate Bill No. 6331 (captive insurance). If the bill is not enacted by June 30, 2020, the amount provided in this subsection shall lapse.</w:t>
      </w:r>
    </w:p>
    <w:p>
      <w:pPr>
        <w:spacing w:before="0" w:after="0" w:line="408" w:lineRule="exact"/>
        <w:ind w:left="0" w:right="0" w:firstLine="576"/>
        <w:jc w:val="left"/>
      </w:pPr>
      <w:r>
        <w:rPr/>
        <w:t xml:space="preserve">(17) $15,000 of the insurance commissioners regulatory account</w:t>
      </w:r>
      <w:r>
        <w:rPr>
          <w:rFonts w:ascii="Times New Roman" w:hAnsi="Times New Roman"/>
        </w:rPr>
        <w:t xml:space="preserve">—</w:t>
      </w:r>
      <w:r>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t xml:space="preserve">(18) $10,000 of the insurance commissioners regulatory account</w:t>
      </w:r>
      <w:r>
        <w:rPr>
          <w:rFonts w:ascii="Times New Roman" w:hAnsi="Times New Roman"/>
        </w:rPr>
        <w:t xml:space="preserve">—</w:t>
      </w:r>
      <w:r>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t xml:space="preserve">(19)(a) 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t xml:space="preserve">(b)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t xml:space="preserve">(c) The work group shall report its recommendations to the health care committees of the legislature, and the joint legislative executive committee on aging and disability issues by November 1, 2020.</w:t>
      </w:r>
    </w:p>
    <w:p>
      <w:pPr>
        <w:spacing w:before="0" w:after="0" w:line="408" w:lineRule="exact"/>
        <w:ind w:left="0" w:right="0" w:firstLine="576"/>
        <w:jc w:val="left"/>
      </w:pPr>
      <w:r>
        <w:rPr/>
        <w:t xml:space="preserve">(20) $23,000 of the insurance commissioner's regulatory account</w:t>
      </w:r>
      <w:r>
        <w:rPr>
          <w:rFonts w:ascii="Times New Roman" w:hAnsi="Times New Roman"/>
        </w:rPr>
        <w:t xml:space="preserve">—</w:t>
      </w:r>
      <w:r>
        <w:rPr/>
        <w:t xml:space="preserve">state appropriation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t xml:space="preserve">(21) $32,000 of the insurance commissioner's regulatory account</w:t>
      </w:r>
      <w:r>
        <w:rPr>
          <w:rFonts w:ascii="Times New Roman" w:hAnsi="Times New Roman"/>
        </w:rPr>
        <w:t xml:space="preserve">—</w:t>
      </w:r>
      <w:r>
        <w:rPr/>
        <w:t xml:space="preserve">state appropriation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t xml:space="preserve">(22) $71,000 of the insurance commissioner's regulatory account</w:t>
      </w:r>
      <w:r>
        <w:rPr>
          <w:rFonts w:ascii="Times New Roman" w:hAnsi="Times New Roman"/>
        </w:rPr>
        <w:t xml:space="preserve">—</w:t>
      </w:r>
      <w:r>
        <w:rPr/>
        <w:t xml:space="preserve">state appropriation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$49,922,000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$373,135,000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and $70,000 of the general fund</w:t>
      </w:r>
      <w:r>
        <w:rPr>
          <w:rFonts w:ascii="Times New Roman" w:hAnsi="Times New Roman"/>
        </w:rPr>
        <w:t xml:space="preserve">—</w:t>
      </w:r>
      <w:r>
        <w:rPr/>
        <w:t xml:space="preserve">state appropriation for fiscal year 2021 are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w:t>
      </w:r>
      <w:r>
        <w:t>((</w:t>
      </w:r>
      <w:r>
        <w:rPr>
          <w:strike/>
        </w:rPr>
        <w:t xml:space="preserve">subject to the provisions of section 701 of this act</w:t>
      </w:r>
      <w:r>
        <w:t>))</w:t>
      </w:r>
      <w:r>
        <w:rPr/>
        <w:t xml:space="preserve"> </w:t>
      </w:r>
      <w:r>
        <w:rPr>
          <w:u w:val="single"/>
        </w:rPr>
        <w:t xml:space="preserve">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$453,152,000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$113,144,000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$24,801,000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$1,048,212,000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$767,860,000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$1,610,712,000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$3,122,519,000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$117,394,000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$240,931,000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$516,036,000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$1,397,952,000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$3,530,681,000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$6,440,214,000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$364,925,000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$1,455,442,000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$2,212,557,000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$58,645,000</w:t>
      </w:r>
      <w:r>
        <w:rPr/>
        <w:t xml:space="preserve"> of the general fund—state appropriation for fiscal year 2021, </w:t>
      </w:r>
      <w:r>
        <w:t>((</w:t>
      </w:r>
      <w:r>
        <w:rPr>
          <w:strike/>
        </w:rPr>
        <w:t xml:space="preserve">$835,701,000</w:t>
      </w:r>
      <w:r>
        <w:t>))</w:t>
      </w:r>
      <w:r>
        <w:rPr/>
        <w:t xml:space="preserve"> </w:t>
      </w:r>
      <w:r>
        <w:rPr>
          <w:u w:val="single"/>
        </w:rPr>
        <w:t xml:space="preserve">$853,460,000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$294,745,000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$134,000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$9,000,000 of the general fund</w:t>
      </w:r>
      <w:r>
        <w:rPr>
          <w:rFonts w:ascii="Times New Roman" w:hAnsi="Times New Roman"/>
          <w:u w:val="single"/>
        </w:rPr>
        <w:t xml:space="preserve">—</w:t>
      </w:r>
      <w:r>
        <w:rPr>
          <w:u w:val="single"/>
        </w:rPr>
        <w:t xml:space="preserve">state appropriation for fiscal year 2021 is provided to continue the family emergency assistance program consistent with governor proclamation 20-18, 20-52, et seq., and 20-63, et seq., issued under the authority provided pursuant to the declaration of a state of emergency due to the COVID-19 pandemic.</w:t>
      </w:r>
    </w:p>
    <w:p>
      <w:pPr>
        <w:spacing w:before="0" w:after="0" w:line="408" w:lineRule="exact"/>
        <w:ind w:left="0" w:right="0" w:firstLine="576"/>
        <w:jc w:val="left"/>
      </w:pPr>
      <w:r>
        <w:rPr>
          <w:u w:val="single"/>
        </w:rPr>
        <w:t xml:space="preserve">(17) $6,725,000 of the general fund</w:t>
      </w:r>
      <w:r>
        <w:rPr>
          <w:rFonts w:ascii="Times New Roman" w:hAnsi="Times New Roman"/>
          <w:u w:val="single"/>
        </w:rPr>
        <w:t xml:space="preserve">—</w:t>
      </w:r>
      <w:r>
        <w:rPr>
          <w:u w:val="single"/>
        </w:rPr>
        <w:t xml:space="preserve">state appropriation for fiscal year 2021 is provided to continue offering the maximum food benefit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(18)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(19) $10,000,000 of the general fund</w:t>
      </w:r>
      <w:r>
        <w:rPr>
          <w:rFonts w:ascii="Times New Roman" w:hAnsi="Times New Roman"/>
          <w:u w:val="single"/>
        </w:rPr>
        <w:t xml:space="preserve">—</w:t>
      </w:r>
      <w:r>
        <w:rPr>
          <w:u w:val="single"/>
        </w:rPr>
        <w:t xml:space="preserve">state appropriation for fiscal year 2021 is provided to continue the Washington immigrant relief fund authorized under the authority provided due to the declaration of a state of emergency due to the COVID-19 pandemic.</w:t>
      </w:r>
    </w:p>
    <w:p>
      <w:pPr>
        <w:spacing w:before="0" w:after="0" w:line="408" w:lineRule="exact"/>
        <w:ind w:left="0" w:right="0" w:firstLine="576"/>
        <w:jc w:val="left"/>
      </w:pPr>
      <w:r>
        <w:rPr>
          <w:u w:val="single"/>
        </w:rPr>
        <w:t xml:space="preserve">(20) $719,000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(21) $1,357,000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(22)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$41,064,000</w:t>
      </w:r>
      <w:r>
        <w:t>))</w:t>
      </w:r>
    </w:p>
    <w:p>
      <w:pPr>
        <w:spacing w:before="0" w:after="0" w:line="408" w:lineRule="exact"/>
        <w:ind w:left="0" w:right="0" w:firstLine="0"/>
        <w:jc w:val="left"/>
        <w:tabs>
          <w:tab w:val="right" w:leader="none" w:pos="9936"/>
        </w:tabs>
      </w:pPr>
      <w:r>
        <w:tab/>
      </w:r>
      <w:r>
        <w:rPr>
          <w:u w:val="single"/>
        </w:rPr>
        <w:t xml:space="preserve">$42,654,000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$42,178,000</w:t>
      </w:r>
      <w:r>
        <w:t>))</w:t>
      </w:r>
    </w:p>
    <w:p>
      <w:pPr>
        <w:spacing w:before="0" w:after="0" w:line="408" w:lineRule="exact"/>
        <w:ind w:left="0" w:right="0" w:firstLine="0"/>
        <w:jc w:val="left"/>
        <w:tabs>
          <w:tab w:val="right" w:leader="none" w:pos="9936"/>
        </w:tabs>
      </w:pPr>
      <w:r>
        <w:tab/>
      </w:r>
      <w:r>
        <w:rPr>
          <w:u w:val="single"/>
        </w:rPr>
        <w:t xml:space="preserve">$42,850,000</w:t>
      </w:r>
    </w:p>
    <w:p>
      <w:pPr>
        <w:tabs>
          <w:tab w:val="right" w:leader="dot" w:pos="9936"/>
        </w:tabs>
        <w:ind w:left="0" w:right="0" w:firstLine="1440"/>
      </w:pPr>
      <w:r>
        <w:rPr/>
        <w:t xml:space="preserve">TOTAL APPROPRIATION</w:t>
      </w:r>
      <w:r>
        <w:tab/>
      </w:r>
      <w:r>
        <w:t>((</w:t>
      </w:r>
      <w:r>
        <w:rPr>
          <w:strike/>
        </w:rPr>
        <w:t xml:space="preserve">$119,766,000</w:t>
      </w:r>
      <w:r>
        <w:t>))</w:t>
      </w:r>
    </w:p>
    <w:p>
      <w:pPr>
        <w:tabs>
          <w:tab w:val="right" w:leader="none" w:pos="9936"/>
        </w:tabs>
        <w:ind w:left="0" w:right="0" w:firstLine="1440"/>
      </w:pPr>
      <w:r>
        <w:tab/>
      </w:r>
      <w:r>
        <w:rPr>
          <w:u w:val="single"/>
        </w:rPr>
        <w:t xml:space="preserve">$122,028,000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$2,318,594,000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$13,107,149,000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$714,781,000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$10,208,000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$18,852,715,000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$714,000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(63)</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(64)</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(65)</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(70)</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(73)</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(74)</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(75)</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(76)</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(77)</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$46,743,000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$63,469,000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$121,953,000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$628,362,000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p>
    <w:p>
      <w:pPr>
        <w:tabs>
          <w:tab w:val="right" w:leader="none" w:pos="9936"/>
        </w:tabs>
        <w:ind w:left="0" w:right="0" w:firstLine="1440"/>
      </w:pP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$2,195,305,000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$3,517,743,000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$27,274,000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$41,046,000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$259,000 of the general fund</w:t>
      </w:r>
      <w:r>
        <w:rPr>
          <w:rFonts w:ascii="Times New Roman" w:hAnsi="Times New Roman"/>
        </w:rPr>
        <w:t xml:space="preserve">—</w:t>
      </w:r>
      <w:r>
        <w:rPr/>
        <w:t xml:space="preserve">state appropriation for fiscal year 2021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$30,031,000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$7,735,000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$904,000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$208,702,000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$679,499,000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$213,790,000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$149,079,000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$1,414,193,000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$151,499,000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$623,303,000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$1,253,709,000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$218,010,000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$462,109,000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$7,877,000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$14,858,000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$49,730,000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$97,565,000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$63,047,000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$126,929,000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$177,775,000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$343,691,000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$370,335,000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$873,143,000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$6,826,000 of the unemployment compensation administration account</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$383,284,000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$460,291,000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$1,272,401,000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w:t>
      </w:r>
      <w:r>
        <w:t>))</w:t>
      </w:r>
      <w:r>
        <w:rPr/>
        <w:t xml:space="preserve"> </w:t>
      </w:r>
      <w:r>
        <w:rPr>
          <w:u w:val="single"/>
        </w:rPr>
        <w:t xml:space="preserve">(hh)</w:t>
      </w:r>
      <w:r>
        <w:rPr/>
        <w:t xml:space="preserve"> $1,080,000 of the general fund</w:t>
      </w:r>
      <w:r>
        <w:rPr>
          <w:rFonts w:ascii="Times New Roman" w:hAnsi="Times New Roman"/>
        </w:rPr>
        <w:t xml:space="preserve">—</w:t>
      </w:r>
      <w:r>
        <w:rPr/>
        <w:t xml:space="preserve">state appropriation for fiscal year 2021 and $720,000 of the general fund</w:t>
      </w:r>
      <w:r>
        <w:rPr>
          <w:rFonts w:ascii="Times New Roman" w:hAnsi="Times New Roman"/>
        </w:rPr>
        <w:t xml:space="preserve">—</w:t>
      </w:r>
      <w:r>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t>((</w:t>
      </w:r>
      <w:r>
        <w:rPr>
          <w:strike/>
        </w:rPr>
        <w:t xml:space="preserve">(nn)</w:t>
      </w:r>
      <w:r>
        <w:t>))</w:t>
      </w:r>
      <w:r>
        <w:rPr/>
        <w:t xml:space="preserve"> </w:t>
      </w:r>
      <w:r>
        <w:rPr>
          <w:u w:val="single"/>
        </w:rPr>
        <w:t xml:space="preserve">(ii)</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$224,080,000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$230,556,000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$413,548,000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$4,241,000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$1,010,913,000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rPr>
          <w:u w:val="single"/>
        </w:rPr>
        <w:t xml:space="preserve">$4,241,000 of the workforce education investment account</w:t>
      </w:r>
      <w:r>
        <w:rPr>
          <w:rFonts w:ascii="Times New Roman" w:hAnsi="Times New Roman"/>
          <w:u w:val="single"/>
        </w:rPr>
        <w:t xml:space="preserve">—</w:t>
      </w:r>
      <w:r>
        <w:rPr>
          <w:u w:val="single"/>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u w:val="single"/>
        </w:rPr>
        <w:t xml:space="preserve">(e)</w:t>
      </w:r>
      <w:r>
        <w:rPr/>
        <w:t xml:space="preserve">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$54,862,000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w:t>
      </w:r>
      <w:r>
        <w:t>((</w:t>
      </w:r>
      <w:r>
        <w:rPr>
          <w:strike/>
        </w:rPr>
        <w:t xml:space="preserve">$133,354,000</w:t>
      </w:r>
      <w:r>
        <w:t>))</w:t>
      </w:r>
      <w:r>
        <w:rPr/>
        <w:t xml:space="preserve"> </w:t>
      </w:r>
      <w:r>
        <w:rPr>
          <w:u w:val="single"/>
        </w:rPr>
        <w:t xml:space="preserve">$103,354,000</w:t>
      </w:r>
      <w:r>
        <w:rPr/>
        <w:t xml:space="preserve">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(k)</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(m)</w:t>
      </w:r>
      <w:r>
        <w:t>))</w:t>
      </w:r>
      <w:r>
        <w:rPr>
          <w:u w:val="single"/>
        </w:rPr>
        <w:t xml:space="preserve">(n)</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(u)</w:t>
      </w:r>
      <w:r>
        <w:t>))</w:t>
      </w:r>
      <w:r>
        <w:rPr>
          <w:u w:val="single"/>
        </w:rPr>
        <w:t xml:space="preserve">(v)</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t xml:space="preserve">(ee)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t xml:space="preserve">(ff)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$128,825,000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$410,859,000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$1,098,000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$43,373,000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$528,669,000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$58,276,000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$39,755,000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w:t>
      </w:r>
      <w:r>
        <w:t>((</w:t>
      </w:r>
      <w:r>
        <w:rPr>
          <w:strike/>
        </w:rPr>
        <w:t xml:space="preserve">$6,102,905</w:t>
      </w:r>
      <w:r>
        <w:t>))</w:t>
      </w:r>
      <w:r>
        <w:rPr/>
        <w:t xml:space="preserve"> </w:t>
      </w:r>
      <w:r>
        <w:rPr>
          <w:u w:val="single"/>
        </w:rPr>
        <w:t xml:space="preserve">$26,102,905</w:t>
      </w:r>
      <w:r>
        <w:rPr/>
        <w:t xml:space="preserve">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$3,983,000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w:t>
      </w:r>
      <w:r>
        <w:t>((</w:t>
      </w:r>
      <w:r>
        <w:rPr>
          <w:strike/>
        </w:rPr>
        <w:t xml:space="preserve">and $1,111,000</w:t>
      </w:r>
      <w:r>
        <w:t>))</w:t>
      </w:r>
      <w:r>
        <w:rPr>
          <w:u w:val="single"/>
        </w:rPr>
        <w:t xml:space="preserve">, $666,000</w:t>
      </w:r>
      <w:r>
        <w:rPr/>
        <w:t xml:space="preserve"> of the general fund</w:t>
      </w:r>
      <w:r>
        <w:rPr>
          <w:rFonts w:ascii="Times New Roman" w:hAnsi="Times New Roman"/>
        </w:rPr>
        <w:t xml:space="preserve">—</w:t>
      </w:r>
      <w:r>
        <w:rPr/>
        <w:t xml:space="preserve">state appropriation for fiscal year 2021</w:t>
      </w:r>
      <w:r>
        <w:rPr>
          <w:u w:val="single"/>
        </w:rPr>
        <w:t xml:space="preserve">, and $445,000 model toxics control operating account</w:t>
      </w:r>
      <w:r>
        <w:rPr>
          <w:rFonts w:ascii="Times New Roman" w:hAnsi="Times New Roman"/>
          <w:u w:val="single"/>
        </w:rPr>
        <w:t xml:space="preserve">—</w:t>
      </w:r>
      <w:r>
        <w:rPr>
          <w:u w:val="single"/>
        </w:rPr>
        <w:t xml:space="preserve">state appropriation</w:t>
      </w:r>
      <w:r>
        <w:rPr/>
        <w:t xml:space="preserve">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w:t>
      </w:r>
      <w:r>
        <w:t>((</w:t>
      </w:r>
      <w:r>
        <w:rPr>
          <w:strike/>
        </w:rPr>
        <w:t xml:space="preserve">and $500,000</w:t>
      </w:r>
      <w:r>
        <w:t>))</w:t>
      </w:r>
      <w:r>
        <w:rPr>
          <w:u w:val="single"/>
        </w:rPr>
        <w:t xml:space="preserve">, $349,000</w:t>
      </w:r>
      <w:r>
        <w:rPr/>
        <w:t xml:space="preserve"> of the general fund</w:t>
      </w:r>
      <w:r>
        <w:rPr>
          <w:rFonts w:ascii="Times New Roman" w:hAnsi="Times New Roman"/>
        </w:rPr>
        <w:t xml:space="preserve">—</w:t>
      </w:r>
      <w:r>
        <w:rPr/>
        <w:t xml:space="preserve">state appropriation for fiscal year 2021</w:t>
      </w:r>
      <w:r>
        <w:rPr>
          <w:u w:val="single"/>
        </w:rPr>
        <w:t xml:space="preserve">, and $151,000 model toxics control operating account</w:t>
      </w:r>
      <w:r>
        <w:rPr>
          <w:rFonts w:ascii="Times New Roman" w:hAnsi="Times New Roman"/>
          <w:u w:val="single"/>
        </w:rPr>
        <w:t xml:space="preserve">—</w:t>
      </w:r>
      <w:r>
        <w:rPr>
          <w:u w:val="single"/>
        </w:rPr>
        <w:t xml:space="preserve">state appropriation</w:t>
      </w:r>
      <w:r>
        <w:rPr/>
        <w:t xml:space="preserve">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$15,530,000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$199,989,000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w:t>
      </w:r>
      <w:r>
        <w:t>((</w:t>
      </w:r>
      <w:r>
        <w:rPr>
          <w:strike/>
        </w:rPr>
        <w:t xml:space="preserve">$1,500,000</w:t>
      </w:r>
      <w:r>
        <w:t>))</w:t>
      </w:r>
      <w:r>
        <w:rPr/>
        <w:t xml:space="preserve"> </w:t>
      </w:r>
      <w:r>
        <w:rPr>
          <w:u w:val="single"/>
        </w:rPr>
        <w:t xml:space="preserve">$500,000</w:t>
      </w:r>
      <w:r>
        <w:rPr/>
        <w:t xml:space="preserve">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$12,660,000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502</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$30,129,000</w:t>
      </w:r>
      <w:r>
        <w:t>))</w:t>
      </w:r>
    </w:p>
    <w:p>
      <w:pPr>
        <w:spacing w:before="0" w:after="0" w:line="408" w:lineRule="exact"/>
        <w:ind w:left="0" w:right="0" w:firstLine="0"/>
        <w:jc w:val="left"/>
        <w:tabs>
          <w:tab w:val="right" w:leader="none" w:pos="9936"/>
        </w:tabs>
      </w:pPr>
      <w:r>
        <w:tab/>
      </w:r>
      <w:r>
        <w:rPr>
          <w:u w:val="single"/>
        </w:rPr>
        <w:t xml:space="preserve">$15,771,000</w:t>
      </w:r>
    </w:p>
    <w:p>
      <w:pPr>
        <w:tabs>
          <w:tab w:val="right" w:leader="dot" w:pos="9936"/>
        </w:tabs>
        <w:ind w:left="0" w:right="0" w:firstLine="1440"/>
      </w:pPr>
      <w:r>
        <w:rPr/>
        <w:t xml:space="preserve">TOTAL APPROPRIATION</w:t>
      </w:r>
      <w:r>
        <w:tab/>
      </w:r>
      <w:r>
        <w:t>((</w:t>
      </w:r>
      <w:r>
        <w:rPr>
          <w:strike/>
        </w:rPr>
        <w:t xml:space="preserve">$33,968,000</w:t>
      </w:r>
      <w:r>
        <w:t>))</w:t>
      </w:r>
    </w:p>
    <w:p>
      <w:pPr>
        <w:tabs>
          <w:tab w:val="right" w:leader="none" w:pos="9936"/>
        </w:tabs>
        <w:ind w:left="0" w:right="0" w:firstLine="1440"/>
      </w:pPr>
      <w:r>
        <w:tab/>
      </w:r>
      <w:r>
        <w:rPr>
          <w:u w:val="single"/>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$8,449,996,000</w:t>
      </w:r>
      <w:r>
        <w:t>))</w:t>
      </w:r>
    </w:p>
    <w:p>
      <w:pPr>
        <w:spacing w:before="0" w:after="0" w:line="408" w:lineRule="exact"/>
        <w:ind w:left="0" w:right="0" w:firstLine="0"/>
        <w:jc w:val="left"/>
        <w:tabs>
          <w:tab w:val="right" w:leader="none" w:pos="9936"/>
        </w:tabs>
      </w:pPr>
      <w:r>
        <w:tab/>
      </w:r>
      <w:r>
        <w:rPr>
          <w:u w:val="single"/>
        </w:rPr>
        <w:t xml:space="preserve">$8,492,606,000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$8,577,177,000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$19,025,513,000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12.60</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17.94</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 (20)(a)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 (21)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$614,498,000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$1,001,857,000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$406,107,000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$1,052,652,000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$1,381,853,000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$3,357,342,000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$15,176,000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$30,634,000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$207,602,000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2.0</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$409,450,000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$1,359,904,000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$84,890,000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$84,890,000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$2,454,000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$2,444,000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$35,380,000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$701,846,000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$1,629,946,000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$20,194,000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$414,182,000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$865,888,000</w:t>
      </w:r>
    </w:p>
    <w:p>
      <w:pPr>
        <w:spacing w:before="120" w:after="0" w:line="408" w:lineRule="exact"/>
        <w:ind w:left="0" w:right="0" w:firstLine="576"/>
        <w:jc w:val="left"/>
      </w:pPr>
      <w:r>
        <w:rPr/>
        <w:t xml:space="preserve">The appropriations in this section are subject to the following conditions and limitations: (1) $41,010,000 of the general fund</w:t>
      </w:r>
      <w:r>
        <w:rPr>
          <w:rFonts w:ascii="Times New Roman" w:hAnsi="Times New Roman"/>
        </w:rPr>
        <w:t xml:space="preserve">—</w:t>
      </w:r>
      <w:r>
        <w:rPr/>
        <w:t xml:space="preserve">state appropriation for fiscal year 2020 and $41,913,000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w:t>
      </w:r>
      <w:r>
        <w:t>((</w:t>
      </w:r>
      <w:r>
        <w:rPr>
          <w:strike/>
        </w:rPr>
        <w:t xml:space="preserve">$5,000,000</w:t>
      </w:r>
      <w:r>
        <w:t>))</w:t>
      </w:r>
      <w:r>
        <w:rPr/>
        <w:t xml:space="preserve"> </w:t>
      </w:r>
      <w:r>
        <w:rPr>
          <w:u w:val="single"/>
        </w:rPr>
        <w:t xml:space="preserve">$65,000,000</w:t>
      </w:r>
      <w:r>
        <w:rPr/>
        <w:t xml:space="preserve">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$228,318,000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$29,793,000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$10,702,000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$56,266,000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$12,063,000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$30,828,000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$81,675,000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$16,649,000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$293,355,000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$19,571,000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$815,830,000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$15,931,000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$56,950,000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$7,229,000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617</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Reimburseable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This amount is a maximum, and the appropriation is to be less than the amount that would cause the volunteer firefighters' and reserve officers' administrative account to have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$1,404,615</w:t>
      </w:r>
    </w:p>
    <w:p>
      <w:pPr>
        <w:tabs>
          <w:tab w:val="right" w:leader="dot" w:pos="9936"/>
        </w:tabs>
        <w:ind w:left="0" w:right="0" w:firstLine="1440"/>
      </w:pPr>
      <w:r>
        <w:rPr/>
        <w:t xml:space="preserve">TOTAL APPROPRIATION</w:t>
      </w:r>
      <w:r>
        <w:tab/>
      </w:r>
      <w:r>
        <w:rPr/>
        <w:t xml:space="preserve">$1,404,615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$70,373,000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$38,968,000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$72,335,000</w:t>
      </w:r>
    </w:p>
    <w:p>
      <w:pPr>
        <w:spacing w:before="0" w:after="0" w:line="408" w:lineRule="exact"/>
        <w:ind w:left="0" w:right="0" w:firstLine="0"/>
        <w:jc w:val="left"/>
        <w:tabs>
          <w:tab w:val="right" w:leader="dot" w:pos="9936"/>
        </w:tabs>
      </w:pPr>
      <w:pPr>
        <w:tabs>
          <w:tab w:val="right" w:leader="dot" w:pos="9360"/>
        </w:tabs>
      </w:pPr>
      <w:r>
        <w:t>((</w:t>
      </w:r>
      <w:r>
        <w:rPr>
          <w:strik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strike/>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strike/>
        </w:rPr>
        <w:t xml:space="preserve">jurisdictions to mitigate the unintended revenue</w:t>
      </w:r>
    </w:p>
    <w:p>
      <w:pPr>
        <w:spacing w:before="0" w:after="0" w:line="408" w:lineRule="exact"/>
        <w:ind w:left="0" w:right="0" w:firstLine="576"/>
        <w:jc w:val="left"/>
        <w:tabs>
          <w:tab w:val="right" w:leader="dot" w:pos="9936"/>
        </w:tabs>
      </w:pPr>
      <w:r>
        <w:rPr>
          <w:strike/>
        </w:rPr>
        <w:t xml:space="preserve">redistributions effect of sourcing law changes</w:t>
      </w:r>
      <w:r>
        <w:tab/>
      </w:r>
      <w:r>
        <w:rPr>
          <w:strike/>
        </w:rPr>
        <w:t xml:space="preserve">$1,937,000</w:t>
      </w:r>
      <w:r>
        <w:t>))</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$19,760,000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$585,700,120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of the tobacco arbitration</w:t>
      </w:r>
    </w:p>
    <w:p>
      <w:pPr>
        <w:spacing w:before="0" w:after="0" w:line="408" w:lineRule="exact"/>
        <w:ind w:left="0" w:right="0" w:firstLine="576"/>
        <w:jc w:val="left"/>
        <w:tabs>
          <w:tab w:val="right" w:leader="dot" w:pos="9936"/>
        </w:tabs>
      </w:pPr>
      <w:r>
        <w:rPr>
          <w:u w:val="single"/>
        </w:rPr>
        <w:t xml:space="preserve">payment for fiscal year 2021</w:t>
      </w: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strike/>
        </w:rPr>
        <w:t xml:space="preserve">sales and use tax account, for fiscal year</w:t>
      </w:r>
    </w:p>
    <w:p>
      <w:pPr>
        <w:spacing w:before="0" w:after="0" w:line="408" w:lineRule="exact"/>
        <w:ind w:left="0" w:right="0" w:firstLine="576"/>
        <w:jc w:val="left"/>
        <w:tabs>
          <w:tab w:val="right" w:leader="dot" w:pos="9936"/>
        </w:tabs>
      </w:pPr>
      <w:r>
        <w:rPr>
          <w:strike/>
        </w:rPr>
        <w:t xml:space="preserve">2020</w:t>
      </w:r>
      <w:r>
        <w:tab/>
      </w:r>
      <w:r>
        <w:rPr>
          <w:strike/>
        </w:rPr>
        <w:t xml:space="preserve">$1,937,000</w:t>
      </w:r>
    </w:p>
    <w:p>
      <w:pPr>
        <w:spacing w:before="0" w:after="0" w:line="408" w:lineRule="exact"/>
        <w:ind w:left="0" w:right="0" w:firstLine="0"/>
        <w:jc w:val="left"/>
        <w:tabs>
          <w:tab w:val="right" w:leader="dot" w:pos="9936"/>
        </w:tabs>
      </w:pPr>
      <w:pPr>
        <w:tabs>
          <w:tab w:val="right" w:leader="dot" w:pos="9360"/>
        </w:tabs>
      </w:pPr>
      <w:r>
        <w:rPr>
          <w:strike/>
        </w:rPr>
        <w:t xml:space="preserve">General Fund: For transfer to the manufacturing</w:t>
      </w:r>
    </w:p>
    <w:p>
      <w:pPr>
        <w:spacing w:before="0" w:after="0" w:line="408" w:lineRule="exact"/>
        <w:ind w:left="0" w:right="0" w:firstLine="576"/>
        <w:jc w:val="left"/>
        <w:tabs>
          <w:tab w:val="right" w:leader="dot" w:pos="9936"/>
        </w:tabs>
      </w:pPr>
      <w:pPr>
        <w:tabs>
          <w:tab w:val="right" w:leader="dot" w:pos="9360"/>
        </w:tabs>
      </w:pPr>
      <w:r>
        <w:rPr>
          <w:strike/>
        </w:rPr>
        <w:t xml:space="preserve">and warehousing jobs centers account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$13,726,000 for fiscal year 2021</w:t>
      </w:r>
      <w:r>
        <w:tab/>
      </w:r>
      <w:r>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pPr>
        <w:tabs>
          <w:tab w:val="right" w:leader="dot" w:pos="9360"/>
        </w:tabs>
      </w:pPr>
      <w:r>
        <w:rPr/>
        <w:t xml:space="preserve">and </w:t>
      </w:r>
      <w:r>
        <w:t>((</w:t>
      </w:r>
      <w:r>
        <w:rPr>
          <w:strike/>
        </w:rPr>
        <w:t xml:space="preserve">$2,000,000</w:t>
      </w:r>
      <w:r>
        <w:t>))</w:t>
      </w:r>
      <w:r>
        <w:rPr/>
        <w:t xml:space="preserve"> </w:t>
      </w:r>
      <w:r>
        <w:rPr>
          <w:u w:val="single"/>
        </w:rPr>
        <w:t xml:space="preserve">$1,005,000</w:t>
      </w:r>
      <w:r>
        <w:rPr/>
        <w:t xml:space="preserve"> for fiscal year</w:t>
      </w:r>
    </w:p>
    <w:p>
      <w:pPr>
        <w:spacing w:before="0" w:after="0" w:line="408" w:lineRule="exact"/>
        <w:ind w:left="0" w:right="0" w:firstLine="576"/>
        <w:jc w:val="left"/>
        <w:tabs>
          <w:tab w:val="right" w:leader="dot" w:pos="9936"/>
        </w:tabs>
      </w:pPr>
      <w:r>
        <w:rPr/>
        <w:t xml:space="preserve">2021</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strike/>
        </w:rPr>
        <w:t xml:space="preserve">pursuant to Engrossed Substitute House Bill No.</w:t>
      </w:r>
    </w:p>
    <w:p>
      <w:pPr>
        <w:spacing w:before="0" w:after="0" w:line="408" w:lineRule="exact"/>
        <w:ind w:left="0" w:right="0" w:firstLine="576"/>
        <w:jc w:val="left"/>
        <w:tabs>
          <w:tab w:val="right" w:leader="dot" w:pos="9936"/>
        </w:tabs>
      </w:pPr>
      <w:pPr>
        <w:tabs>
          <w:tab w:val="right" w:leader="dot" w:pos="9360"/>
        </w:tabs>
      </w:pPr>
      <w:r>
        <w:rPr>
          <w:strike/>
        </w:rPr>
        <w:t xml:space="preserve">2638 (sports wagering/compacts), $6,000,000</w:t>
      </w:r>
    </w:p>
    <w:p>
      <w:pPr>
        <w:spacing w:before="0" w:after="0" w:line="408" w:lineRule="exact"/>
        <w:ind w:left="0" w:right="0" w:firstLine="576"/>
        <w:jc w:val="left"/>
        <w:tabs>
          <w:tab w:val="right" w:leader="dot" w:pos="9936"/>
        </w:tabs>
      </w:pPr>
      <w:r>
        <w:rPr>
          <w:strike/>
        </w:rPr>
        <w:t xml:space="preserve">for 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Housing Trust Fund: For transfer to the</w:t>
      </w:r>
    </w:p>
    <w:p>
      <w:pPr>
        <w:spacing w:before="0" w:after="0" w:line="408" w:lineRule="exact"/>
        <w:ind w:left="0" w:right="0" w:firstLine="576"/>
        <w:jc w:val="left"/>
        <w:tabs>
          <w:tab w:val="right" w:leader="dot" w:pos="9936"/>
        </w:tabs>
      </w:pPr>
      <w:r>
        <w:rPr>
          <w:u w:val="single"/>
        </w:rPr>
        <w:t xml:space="preserve">home security fund for fiscal year 2021</w:t>
      </w:r>
      <w:r>
        <w:tab/>
      </w:r>
      <w:r>
        <w:rPr>
          <w:u w:val="single"/>
        </w:rPr>
        <w:t xml:space="preserve">$41,931,000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$1,773,557,000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w:t>
      </w:r>
      <w:r>
        <w:t>((</w:t>
      </w:r>
      <w:r>
        <w:rPr>
          <w:strike/>
        </w:rPr>
        <w:t xml:space="preserve">$99,377,000</w:t>
      </w:r>
      <w:r>
        <w:t>))</w:t>
      </w:r>
      <w:r>
        <w:rPr/>
        <w:t xml:space="preserve"> </w:t>
      </w:r>
      <w:r>
        <w:rPr>
          <w:u w:val="single"/>
        </w:rPr>
        <w:t xml:space="preserve">$69,461,000</w:t>
      </w:r>
      <w:r>
        <w:rPr/>
        <w:t xml:space="preserve">,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f6a984678e43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e781d01a0408c" /><Relationship Type="http://schemas.openxmlformats.org/officeDocument/2006/relationships/footer" Target="/word/footer1.xml" Id="R61f6a984678e438a" /></Relationships>
</file>