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1bb66ebf140bb" /></Relationships>
</file>

<file path=word/document.xml><?xml version="1.0" encoding="utf-8"?>
<w:document xmlns:w="http://schemas.openxmlformats.org/wordprocessingml/2006/main">
  <w:body>
    <w:p>
      <w:r>
        <w:t>H-0599.1</w:t>
      </w:r>
    </w:p>
    <w:p>
      <w:pPr>
        <w:jc w:val="center"/>
      </w:pPr>
      <w:r>
        <w:t>_______________________________________________</w:t>
      </w:r>
    </w:p>
    <w:p/>
    <w:p>
      <w:pPr>
        <w:jc w:val="center"/>
      </w:pPr>
      <w:r>
        <w:rPr>
          <w:b/>
        </w:rPr>
        <w:t>SUBSTITUTE HOUSE BILL 1099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Duerr, Fitzgibbon, Dolan, Bateman, Ramel, Gregerson, Goodman, Ryu, Kloba, Chopp, Ormsby, Pollet, Fey, Santos, and Davis)</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comprehensive planning framework; amending RCW 36.70A.020, 36.70A.480, 36.70A.320, 36.70A.190, 36.70A.100, 36.70A.030, and 86.12.200; reenacting and amending RCW 36.70A.070; adding new sections to chapter 36.70A RCW; adding a new section to chapter 70A.45 RCW; adding a new section to chapter 47.80 RCW; adding a new section to chapter 90.58 RCW;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emissions reduction requirements and state per capita vehicle miles traveled goals, prepare for climate impact scenarios, foster resiliency to climate impacts and natural hazards, and protect and enhance environmental, economic, and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the cities within those counties, that meet either of the following criteria on or after January 1, 2021:</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(3)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within that county, shall adopt a greenhouse gas emissions reduction subelement of the climate change and resiliency element set forth in RCW 36.70A.070 at the next scheduled update of the comprehensive plan as set forth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should give special consideration to achieving environmental justice in its goals and policies. In addition, the land use element must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including, but not limited to, by reducing residential development in the wildland urban interface area.</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w:t>
      </w:r>
      <w:r>
        <w:rPr>
          <w:u w:val="single"/>
        </w:rPr>
        <w:t xml:space="preserve">, including regional policies, plans, and strategies under RCW 36.70A.210 and chapter 47.80 RCW</w:t>
      </w:r>
      <w:r>
        <w:rPr/>
        <w:t xml:space="preserve">;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wetlands, and riparian areas</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and active transportation facilities</w:t>
      </w:r>
      <w:r>
        <w:rPr/>
        <w:t xml:space="preserve"> to serve as a gauge to judge performance of the system </w:t>
      </w:r>
      <w:r>
        <w:rPr>
          <w:u w:val="single"/>
        </w:rPr>
        <w:t xml:space="preserve">and success in helping to achieve the goals of this chapter at the least cost</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w:t>
      </w:r>
      <w:r>
        <w:rPr/>
        <w:t xml:space="preserve">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t>((</w:t>
      </w:r>
      <w:r>
        <w:rPr>
          <w:strike/>
        </w:rPr>
        <w:t xml:space="preserve">and</w:t>
      </w:r>
      <w:r>
        <w:t>))</w:t>
      </w:r>
      <w:r>
        <w:rPr/>
        <w:t xml:space="preserve"> (c) an evaluation of intergovernmental coordination opportunities to provide regional approaches for meeting park and recreational demand</w:t>
      </w:r>
      <w:r>
        <w:rPr>
          <w:u w:val="single"/>
        </w:rPr>
        <w:t xml:space="preserve">; (d) an evaluation of consistency with fish and wildlife goals; and (e) consideration of the health disparities map, published by the department of health, to increase greenspace and tree canopy in the most pollution-burdened locations.</w:t>
      </w:r>
    </w:p>
    <w:p>
      <w:pPr>
        <w:spacing w:before="0" w:after="0" w:line="408" w:lineRule="exact"/>
        <w:ind w:left="0" w:right="0" w:firstLine="576"/>
        <w:jc w:val="left"/>
      </w:pPr>
      <w:r>
        <w:rPr>
          <w:u w:val="single"/>
        </w:rPr>
        <w:t xml:space="preserve">(9) A climate change and resiliency element that is designed to result in reductions in overall greenhouse gas emissions and that must enhance resiliency to and avoid the adverse impacts of climate change. The greenhouse gas emissions reduction subelement of the climate change and resiliency element is mandatory for the jurisdictions specified in section 3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the transportation and land use systems within the jurisdiction;</w:t>
      </w:r>
    </w:p>
    <w:p>
      <w:pPr>
        <w:spacing w:before="0" w:after="0" w:line="408" w:lineRule="exact"/>
        <w:ind w:left="0" w:right="0" w:firstLine="576"/>
        <w:jc w:val="left"/>
      </w:pPr>
      <w:r>
        <w:rPr>
          <w:u w:val="single"/>
        </w:rPr>
        <w:t xml:space="preserve">(B) Result in reductions in per capita vehicle miles traveled within the jurisdiction; and</w:t>
      </w:r>
    </w:p>
    <w:p>
      <w:pPr>
        <w:spacing w:before="0" w:after="0" w:line="408" w:lineRule="exact"/>
        <w:ind w:left="0" w:right="0" w:firstLine="576"/>
        <w:jc w:val="left"/>
      </w:pPr>
      <w:r>
        <w:rPr>
          <w:u w:val="single"/>
        </w:rPr>
        <w:t xml:space="preserve">(C) Prioritize reductions in communities that experience disproportionate impacts and harm due to air pollution in order to maximize the cobenefits of reduced air pollution.</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to be consistent with those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 consistent with the reduction requirements set forth in RCW 70A.45.020</w:t>
      </w:r>
      <w:r>
        <w:rPr>
          <w:u w:val="single"/>
        </w:rPr>
        <w:t xml:space="preserve">.</w:t>
      </w:r>
    </w:p>
    <w:p>
      <w:pPr>
        <w:spacing w:before="0" w:after="0" w:line="408" w:lineRule="exact"/>
        <w:ind w:left="0" w:right="0" w:firstLine="576"/>
        <w:jc w:val="left"/>
      </w:pPr>
      <w:r>
        <w:rPr>
          <w:u w:val="single"/>
        </w:rPr>
        <w:t xml:space="preserve">(b) The resiliency subelement must equitably enhance resiliency to, and avoid or substantially reduce the adverse impacts of, climate change on people, property,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communities that will disproportionately suffer from compounding environmental impacts and will be most impacted by natural hazards due to climate change. A natural hazard mitigation plan or similar plan that is guided by RCW 36.70A.020(14) and complies with the applicable requirements of this act, including the requirements set forth in this subsection (9)(b), may be adopted by reference to satisfy those requirements.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(i) Identify, protect, and enhance natural areas to foster resiliency to climate impacts, as well as areas of vital habitat for safe passage and species migration; and</w:t>
      </w:r>
    </w:p>
    <w:p>
      <w:pPr>
        <w:spacing w:before="0" w:after="0" w:line="408" w:lineRule="exact"/>
        <w:ind w:left="0" w:right="0" w:firstLine="576"/>
        <w:jc w:val="left"/>
      </w:pPr>
      <w:r>
        <w:rPr>
          <w:u w:val="single"/>
        </w:rPr>
        <w:t xml:space="preserve">(ii)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(c) For the jurisdictions set forth in section 3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(d) The adoption of ordinances, amendments to comprehensive plans, amendments to development regulations, and other nonproject actions taken by a county or city pursuant to (a) or (c) of this subsection in order to implement measures specified by the department pursuant to section 5 of this act are not subject to administrative or judicial appeal under chapter 43.21C RCW</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 and</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(2) The department of commerce, in consultation with the department of transportation, shall publish guidelines that specify a set of measures counties and cities have available to them to take through updates to their comprehensive plans and development regulations that have a demonstrated ability to reduce per capita vehicle miles traveled.</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 In any updates to the guidelines published after 2025, the department of commerce shall include a determination of whether adequate progress has been made toward the statewide greenhouse gas and per capita vehicle miles traveled reduction goals. If adequate progress is not being made, the department must identify in the guidelines what additional measures cities and counties must take in order to make further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greenhouse gas emissions reduction subelement required by RCW 36.70A.070 becomes effective when approved by the department as provided in this section.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(2)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(3)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(4)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(5)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whose reservation is within the state of Washington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or include model options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forest health, and ecosystem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100</w:t>
      </w:r>
      <w:r>
        <w:rPr/>
        <w:t xml:space="preserve"> and 1990 1st ex.s. c 17 s 10 are each amended to read as follows:</w:t>
      </w:r>
    </w:p>
    <w:p>
      <w:pPr>
        <w:spacing w:before="0" w:after="0" w:line="408" w:lineRule="exact"/>
        <w:ind w:left="0" w:right="0" w:firstLine="576"/>
        <w:jc w:val="left"/>
      </w:pPr>
      <w:r>
        <w:rPr/>
        <w:t xml:space="preserve">The comprehensive plan of each county or city </w:t>
      </w:r>
      <w:r>
        <w:t>((</w:t>
      </w:r>
      <w:r>
        <w:rPr>
          <w:strike/>
        </w:rPr>
        <w:t xml:space="preserve">that is</w:t>
      </w:r>
      <w:r>
        <w:t>))</w:t>
      </w:r>
      <w:r>
        <w:rPr/>
        <w:t xml:space="preserve"> adopted pursuant to RCW 36.70A.040 shall be </w:t>
      </w:r>
      <w:r>
        <w:t>((</w:t>
      </w:r>
      <w:r>
        <w:rPr>
          <w:strike/>
        </w:rPr>
        <w:t xml:space="preserve">coordinated</w:t>
      </w:r>
      <w:r>
        <w:t>))</w:t>
      </w:r>
      <w:r>
        <w:rPr>
          <w:u w:val="single"/>
        </w:rPr>
        <w:t xml:space="preserve">:</w:t>
      </w:r>
    </w:p>
    <w:p>
      <w:pPr>
        <w:spacing w:before="0" w:after="0" w:line="408" w:lineRule="exact"/>
        <w:ind w:left="0" w:right="0" w:firstLine="576"/>
        <w:jc w:val="left"/>
      </w:pPr>
      <w:r>
        <w:rPr>
          <w:u w:val="single"/>
        </w:rPr>
        <w:t xml:space="preserve">(1) Coordinated</w:t>
      </w:r>
      <w:r>
        <w:rPr/>
        <w:t xml:space="preserve"> with, and consistent with, the comprehensive plans adopted pursuant to RCW 36.70A.040 of other counties or cities with which the county or city has, in part, common borders or related regional issues</w:t>
      </w:r>
      <w:r>
        <w:rPr>
          <w:u w:val="single"/>
        </w:rPr>
        <w:t xml:space="preserve">; and</w:t>
      </w:r>
    </w:p>
    <w:p>
      <w:pPr>
        <w:spacing w:before="0" w:after="0" w:line="408" w:lineRule="exact"/>
        <w:ind w:left="0" w:right="0" w:firstLine="576"/>
        <w:jc w:val="left"/>
      </w:pPr>
      <w:r>
        <w:rPr>
          <w:u w:val="single"/>
        </w:rPr>
        <w:t xml:space="preserve">(2) Consistent with the regional transportation plans required under RCW 47.80.030 for the region within which the county or city is located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(29)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(30)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(31)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(32)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this act are subject to the availability of funds appropriated to support local governments for the specific purpose of complying with this act. If sufficient funds are not appropriated consistent with the timelines set forth in RCW 36.70A.070(9), counties and cities shall not be subject to the requirements set forth in sections 1 and 4 of this act, and instead, RCW 36.70A.020 and 36.70A.070 shall apply as they exist on January 1, 2021.</w:t>
      </w:r>
    </w:p>
    <w:p/>
    <w:p>
      <w:pPr>
        <w:jc w:val="center"/>
      </w:pPr>
      <w:r>
        <w:rPr>
          <w:b/>
        </w:rPr>
        <w:t>--- END ---</w:t>
      </w:r>
    </w:p>
    <w:sectPr>
      <w:pgNumType w:start="1"/>
      <w:footerReference xmlns:r="http://schemas.openxmlformats.org/officeDocument/2006/relationships" r:id="R5024280544f940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9e437b7c394380" /><Relationship Type="http://schemas.openxmlformats.org/officeDocument/2006/relationships/footer" Target="/word/footer1.xml" Id="R5024280544f9405c" /></Relationships>
</file>