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a92ddbb724c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Duerr, Fitzgibbon, Dolan, Bateman, Ramel, Gregerson, Goodman, Ryu, Kloba, Chopp, Ormsby, Pollet, Fey, Santos,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comprehensive planning framework; amending RCW 36.70A.020, 36.70A.480, 36.70A.320, 36.70A.190, 36.70A.030, and 86.12.200; reenacting and amending RCW 36.70A.070; adding new sections to chapter 36.70A RCW; adding a new section to chapter 70A.45 RCW; adding a new section to chapter 47.80 RCW; adding a new section to chapter 90.58 RCW; adding a new section to chapter 43.21C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January 1, 2021, and the cities with populations greater than 6,000 as of January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January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January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January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January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 addition, the land use element must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reducing residential development pressure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 but excluding forestland, as that term is defined in RCW 84.33.035, and timberland, as that term is defined in RCW 84.34.020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Pr>
          <w:u w:val="single"/>
        </w:rPr>
        <w:t xml:space="preserve">.</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(iv)(A)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6 of this act, if the actions provide for the authorization of the development of middle housing types.</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(9)(a)(iv),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(9)(a)(iv),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p>
    <w:p>
      <w:pPr>
        <w:spacing w:before="0" w:after="0" w:line="408" w:lineRule="exact"/>
        <w:ind w:left="0" w:right="0" w:firstLine="576"/>
        <w:jc w:val="left"/>
      </w:pPr>
      <w:r>
        <w:rPr>
          <w:u w:val="single"/>
        </w:rPr>
        <w:t xml:space="preserve">(1) Does not require off-street parking spaces for lots or parcels with an accessory dwelling unit or a duplex, or for lots or parcels that are less than 3,000 square feet;</w:t>
      </w:r>
    </w:p>
    <w:p>
      <w:pPr>
        <w:spacing w:before="0" w:after="0" w:line="408" w:lineRule="exact"/>
        <w:ind w:left="0" w:right="0" w:firstLine="576"/>
        <w:jc w:val="left"/>
      </w:pPr>
      <w:r>
        <w:rPr>
          <w:u w:val="single"/>
        </w:rPr>
        <w:t xml:space="preserve">(2) Does not require more than one off-street parking space for lots or parcels that are greater than or equal to 3,000 square feet but are less than 6,000 square feet;</w:t>
      </w:r>
    </w:p>
    <w:p>
      <w:pPr>
        <w:spacing w:before="0" w:after="0" w:line="408" w:lineRule="exact"/>
        <w:ind w:left="0" w:right="0" w:firstLine="576"/>
        <w:jc w:val="left"/>
      </w:pPr>
      <w:r>
        <w:rPr>
          <w:u w:val="single"/>
        </w:rPr>
        <w:t xml:space="preserve">(3) Does not require more than 0.5 off-street parking spaces for each dwelling unit for lots or parcels greater than or equal to 6,000 square feet;</w:t>
      </w:r>
    </w:p>
    <w:p>
      <w:pPr>
        <w:spacing w:before="0" w:after="0" w:line="408" w:lineRule="exact"/>
        <w:ind w:left="0" w:right="0" w:firstLine="576"/>
        <w:jc w:val="left"/>
      </w:pPr>
      <w:r>
        <w:rPr>
          <w:u w:val="single"/>
        </w:rPr>
        <w:t xml:space="preserve">(4) May allow on-street parking credits to satisfy off-street parking requirements;</w:t>
      </w:r>
    </w:p>
    <w:p>
      <w:pPr>
        <w:spacing w:before="0" w:after="0" w:line="408" w:lineRule="exact"/>
        <w:ind w:left="0" w:right="0" w:firstLine="576"/>
        <w:jc w:val="left"/>
      </w:pPr>
      <w:r>
        <w:rPr>
          <w:u w:val="single"/>
        </w:rPr>
        <w:t xml:space="preserve">(5) Allows, but does not require, off-street parking to be provided as a garage or carport; and</w:t>
      </w:r>
    </w:p>
    <w:p>
      <w:pPr>
        <w:spacing w:before="0" w:after="0" w:line="408" w:lineRule="exact"/>
        <w:ind w:left="0" w:right="0" w:firstLine="576"/>
        <w:jc w:val="left"/>
      </w:pPr>
      <w:r>
        <w:rPr>
          <w:u w:val="single"/>
        </w:rPr>
        <w:t xml:space="preserve">(6) Applies the same off-street parking surfacing, dimensional, landscaping, access, and circulation standards that apply to single-family residences in the same zoning district.</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(B)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If a county or city intends to incorporate by reference a federal emergency management agency natural hazard mitigation plan in order to meet the requirement of the resiliency subelement set forth in this subsection (9)(b), and the natural hazard mitigation plan is not adopted within three years prior to the required update set forth in RCW 36.70A.130 but is intended to be adopted no later than two years after the required update set forth in RCW 36.70A.130, the county or city may be granted an extension to meeting the requirements of this subsection (9)(b) by providing notice to the department. If a county or city incorporates by reference a federal emergency management agency natural hazard mitigation plan in order to meet the requirement of this subsection (9)(b), the plan must be guided by RCW 36.70A.020(14) and must comply with the requirements of this act, including the requirements set forth in this subsection (9)(b).</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locations of major employment centers and transit corridors, for the purpose of increasing housing supply in these areas.</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greenhouse gas emissions reduction subelement required by RCW 36.70A.070 becomes effective when approved by the department as provided in this section.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(2)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(3)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(4)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(5)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(33)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3f6e5a1ec9a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8a425ef834968" /><Relationship Type="http://schemas.openxmlformats.org/officeDocument/2006/relationships/footer" Target="/word/footer1.xml" Id="R63f6e5a1ec9a4f6d" /></Relationships>
</file>