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7c91f3bb7a4e5b" /></Relationships>
</file>

<file path=word/document.xml><?xml version="1.0" encoding="utf-8"?>
<w:document xmlns:w="http://schemas.openxmlformats.org/wordprocessingml/2006/main">
  <w:body>
    <w:p>
      <w:r>
        <w:t>H-1088.1</w:t>
      </w:r>
    </w:p>
    <w:p>
      <w:pPr>
        <w:jc w:val="center"/>
      </w:pPr>
      <w:r>
        <w:t>_______________________________________________</w:t>
      </w:r>
    </w:p>
    <w:p/>
    <w:p>
      <w:pPr>
        <w:jc w:val="center"/>
      </w:pPr>
      <w:r>
        <w:rPr>
          <w:b/>
        </w:rPr>
        <w:t>SECOND SUBSTITUTE HOUSE BILL 1139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Pollet, Callan, Berg, Dolan, Ryu, Leavitt, Bronoske, Ramel, Ramos, Lekanoff, Stonier, Ortiz-Self, Frame, Goodman, Rule, Bergquist, Berry, Wylie, J. Johnson, Taylor, and Valdez)</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 Beginning January 2, 2022, a school shall make available on a public website the most recent results of testing for lead contamination at drinking water outlets in buildings that meet the requirements of subsection (1) of this section. New test results must be made available on the website within 30 days after receipt.</w:t>
      </w:r>
    </w:p>
    <w:p>
      <w:pPr>
        <w:spacing w:before="0" w:after="0" w:line="408" w:lineRule="exact"/>
        <w:ind w:left="0" w:right="0" w:firstLine="576"/>
        <w:jc w:val="left"/>
      </w:pPr>
      <w:r>
        <w:rPr/>
        <w:t xml:space="preserve">(4) Annually, beginning with the 2021-22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even small amounts of lead can be harmful; the website address of the lead test results; and information about and a comparison of lead test results with the federal threshold, the state threshold, and the American academy of pediatrics recommended threshold,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(5) As soon as practicable after receiving a lead test result that reveals an elevated lead level, as defined in subsection (7) of this section, at a drinking water outlet, and until a lead contamination mitigation measure is implemented, the school must shut off the water to the outlet.</w:t>
      </w:r>
    </w:p>
    <w:p>
      <w:pPr>
        <w:spacing w:before="0" w:after="0" w:line="408" w:lineRule="exact"/>
        <w:ind w:left="0" w:right="0" w:firstLine="576"/>
        <w:jc w:val="left"/>
      </w:pPr>
      <w:r>
        <w:rPr/>
        <w:t xml:space="preserve">(6)(a) For a lead test result that reveals an elevated lead level, as defined in subsection (7) of this section, at one or more drinking water outlets,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funding for remediation activities; and</w:t>
      </w:r>
    </w:p>
    <w:p>
      <w:pPr>
        <w:spacing w:before="0" w:after="0" w:line="408" w:lineRule="exact"/>
        <w:ind w:left="0" w:right="0" w:firstLine="576"/>
        <w:jc w:val="left"/>
      </w:pPr>
      <w:r>
        <w:rPr/>
        <w:t xml:space="preserve">(iv)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If testing reveals that the primary cause of lead contamination is the infrastructure operated by a public water system that is not a school water system, the school's governing body is not financially responsible for remediating elevated lead levels in drinking water that passes through that infrastructure. However, the school's governing body must communicate with the public water system regarding the primary cause of lead contamination and request from the public water system a plan for reducing the lead contamination.</w:t>
      </w:r>
    </w:p>
    <w:p>
      <w:pPr>
        <w:spacing w:before="0" w:after="0" w:line="408" w:lineRule="exact"/>
        <w:ind w:left="0" w:right="0" w:firstLine="576"/>
        <w:jc w:val="left"/>
      </w:pPr>
      <w:r>
        <w:rPr/>
        <w:t xml:space="preserve">(e)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retesting has not confirmed that the elevated lead level has been reduced to five or fewer parts per billion, the school's governing body shall provide notice of elevated lead levels in the communication required under subsection (4) of this section and adopt an action plan by January 2,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3671bbaa63c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bf425a3b24384" /><Relationship Type="http://schemas.openxmlformats.org/officeDocument/2006/relationships/footer" Target="/word/footer1.xml" Id="R83671bbaa63c474b" /></Relationships>
</file>