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181618e62f464d" /></Relationships>
</file>

<file path=word/document.xml><?xml version="1.0" encoding="utf-8"?>
<w:document xmlns:w="http://schemas.openxmlformats.org/wordprocessingml/2006/main">
  <w:body>
    <w:p>
      <w:r>
        <w:t>H-2032.3</w:t>
      </w:r>
    </w:p>
    <w:p>
      <w:pPr>
        <w:jc w:val="center"/>
      </w:pPr>
      <w:r>
        <w:t>_______________________________________________</w:t>
      </w:r>
    </w:p>
    <w:p/>
    <w:p>
      <w:pPr>
        <w:jc w:val="center"/>
      </w:pPr>
      <w:r>
        <w:rPr>
          <w:b/>
        </w:rPr>
        <w:t>SECOND SUBSTITUTE HOUSE BILL 1153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Gregerson, Davis, Hackney, Macri, Callan, Pollet, Ramos, Bergquist, Thai, J. Johnson, Simmons, and Valdez)</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28A.710 RCW; adding a new section to chapter 72.40 RCW; adding a new chapter to Title 28A RCW; creating new sections; and repealing RCW 28A.155.230.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dual role staff as interpreters, for using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2022-23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Develop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Adopt a language access policy and procedures that adheres to the principles of an effective language access program for culturally responsive, systemic family engagement established in section 3 of this act, and incorporates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(2)(a)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2022-23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Feedback from participants in each interpreted meeting on the effectiveness of the interpreter and the provision of language access services;</w:t>
      </w:r>
    </w:p>
    <w:p>
      <w:pPr>
        <w:spacing w:before="0" w:after="0" w:line="408" w:lineRule="exact"/>
        <w:ind w:left="0" w:right="0" w:firstLine="576"/>
        <w:jc w:val="left"/>
      </w:pPr>
      <w:r>
        <w:rPr/>
        <w:t xml:space="preserve">(c) Whether a qualified interpreter for the student's family was requested for and provided at meetings reported in the longitudinal data system established under RCW 28A.300.500; and</w:t>
      </w:r>
    </w:p>
    <w:p>
      <w:pPr>
        <w:spacing w:before="0" w:after="0" w:line="408" w:lineRule="exact"/>
        <w:ind w:left="0" w:right="0" w:firstLine="576"/>
        <w:jc w:val="left"/>
      </w:pPr>
      <w:r>
        <w:rPr/>
        <w:t xml:space="preserve">(d) Other data on provision of language access services.</w:t>
      </w:r>
    </w:p>
    <w:p>
      <w:pPr>
        <w:spacing w:before="0" w:after="0" w:line="408" w:lineRule="exact"/>
        <w:ind w:left="0" w:right="0" w:firstLine="576"/>
        <w:jc w:val="left"/>
      </w:pPr>
      <w:r>
        <w:rPr/>
        <w:t xml:space="preserve">(2) School districts must submit the information collected under subsection (1)(a) and (c) of this section at the time and in the manner required by the office of the superintendent of public instruction.</w:t>
      </w:r>
    </w:p>
    <w:p>
      <w:pPr>
        <w:spacing w:before="0" w:after="0" w:line="408" w:lineRule="exact"/>
        <w:ind w:left="0" w:right="0" w:firstLine="576"/>
        <w:jc w:val="left"/>
      </w:pPr>
      <w:r>
        <w:rPr/>
        <w:t xml:space="preserve">(3) School districts must summarize the feedback collected under subsection (1)(b) of this section and make it publicly accessible twice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consequences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State-controlled activities necessary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e82a00a2032543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c46e080314330" /><Relationship Type="http://schemas.openxmlformats.org/officeDocument/2006/relationships/footer" Target="/word/footer1.xml" Id="Re82a00a2032543c1" /></Relationships>
</file>