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4d3b249914379" /></Relationships>
</file>

<file path=word/document.xml><?xml version="1.0" encoding="utf-8"?>
<w:document xmlns:w="http://schemas.openxmlformats.org/wordprocessingml/2006/main">
  <w:body>
    <w:p>
      <w:r>
        <w:t>H-0674.1</w:t>
      </w:r>
    </w:p>
    <w:p>
      <w:pPr>
        <w:jc w:val="center"/>
      </w:pPr>
      <w:r>
        <w:t>_______________________________________________</w:t>
      </w:r>
    </w:p>
    <w:p/>
    <w:p>
      <w:pPr>
        <w:jc w:val="center"/>
      </w:pPr>
      <w:r>
        <w:rPr>
          <w:b/>
        </w:rPr>
        <w:t>SUBSTITUTE HOUSE BILL 1169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Goodman, Davis, Dolan, Simmons, Bateman, Lekanoff, Springer, Gregerson, Senn, Fitzgibbon, Ramos, Frame, Ramel, Peterson, Lovick, Ryu, Callan, Slatter, Duerr, Ormsby, Macri, and Hackney)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enhancements; amending RCW 9.94A.599, 9.94A.729, 9.94A.729, 10.01.210, and 72.01.410; reenacting and amending RCW 9.94A.030 and 9.94A.533; adding a new section to chapter 9.94A RCW; creating new sections; repealing RCW 9.94A.833 and 69.50.435;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three or more prior offenses as defined in RCW 46.61.5055,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defendant has three or more prior offenses as defined in RCW 46.61.5055,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w:t>
      </w:r>
      <w:r>
        <w:t>((</w:t>
      </w:r>
      <w:r>
        <w:rPr>
          <w:strike/>
        </w:rPr>
        <w:t xml:space="preserve">RCW 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any offender who is currently serving a sentence imposed prior to the effective date of this section involving multiple, consecutive firearm or deadly weapon enhancements under RCW 9.94A.533, either the offender or the applicable county prosecuting attorney may petition the sentencing court for resentencing on the basis that the consecutive enhancements no longer advance the interests of justice.</w:t>
      </w:r>
    </w:p>
    <w:p>
      <w:pPr>
        <w:spacing w:before="0" w:after="0" w:line="408" w:lineRule="exact"/>
        <w:ind w:left="0" w:right="0" w:firstLine="576"/>
        <w:jc w:val="left"/>
      </w:pPr>
      <w:r>
        <w:rPr/>
        <w:t xml:space="preserve">(2) The sentencing court may grant or deny a petition under this section. If the court grants a petition, the court shall resentence the offender in the same manner as if the offender had not previously been sentenced, except: The court may, in its discretion, order the firearm or deadly weapon enhancements to be served concurrently, regardless of the date of the offense; and the new sentence, if any, may not be greater than the initial sentence.</w:t>
      </w:r>
    </w:p>
    <w:p>
      <w:pPr>
        <w:spacing w:before="0" w:after="0" w:line="408" w:lineRule="exact"/>
        <w:ind w:left="0" w:right="0" w:firstLine="576"/>
        <w:jc w:val="left"/>
      </w:pPr>
      <w:r>
        <w:rPr/>
        <w:t xml:space="preserve">(3) If a resentencing hearing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resentencing under this section does not reopen a qualifying offender's conviction to challenges that would otherwise be barred.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2015 c 265 s 37 &amp; 2003 c 53 s 346.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earned early release for sentencing enhancements under sections 2, 4, and 5 of this act apply retroactively to offenders currently serving a sentence in any facility or institution either operated by the state or utilized under contract. Pursuant to RCW 9.94A.729, the department of corrections shall recalculate the earned release date for any qualifying offender, regardless of the date of sentencing or date of offense. For offenders whose offense was committed prior to the effective date of this section, the recalculation shall not extend a term of incarceration beyond that to which an offender is currently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10 of this act does not create any liberty interest. The department of corrections' recalculations of earned release time do not create any expectation that the percentage of earned release time will be revised before the effective date of this section, and offenders have no reason to conclude that the maximum percentage of earned release time is an entitlement. The department of corrections has discretion to implement the retroactive changes to earned early release for qualifying offenders over a period of time not to exceed 12 months following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2022.</w:t>
      </w:r>
    </w:p>
    <w:p/>
    <w:p>
      <w:pPr>
        <w:jc w:val="center"/>
      </w:pPr>
      <w:r>
        <w:rPr>
          <w:b/>
        </w:rPr>
        <w:t>--- END ---</w:t>
      </w:r>
    </w:p>
    <w:sectPr>
      <w:pgNumType w:start="1"/>
      <w:footerReference xmlns:r="http://schemas.openxmlformats.org/officeDocument/2006/relationships" r:id="R0201eb11dfc140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94bbde36a467d" /><Relationship Type="http://schemas.openxmlformats.org/officeDocument/2006/relationships/footer" Target="/word/footer1.xml" Id="R0201eb11dfc1407a" /></Relationships>
</file>