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1f9e3ab20f43dc" /></Relationships>
</file>

<file path=word/document.xml><?xml version="1.0" encoding="utf-8"?>
<w:document xmlns:w="http://schemas.openxmlformats.org/wordprocessingml/2006/main">
  <w:body>
    <w:p>
      <w:r>
        <w:t>H-0938.1</w:t>
      </w:r>
    </w:p>
    <w:p>
      <w:pPr>
        <w:jc w:val="center"/>
      </w:pPr>
      <w:r>
        <w:t>_______________________________________________</w:t>
      </w:r>
    </w:p>
    <w:p/>
    <w:p>
      <w:pPr>
        <w:jc w:val="center"/>
      </w:pPr>
      <w:r>
        <w:rPr>
          <w:b/>
        </w:rPr>
        <w:t>SECOND SUBSTITUTE HOUSE BILL 1186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Goodman, Senn, Sullivan, Leavitt, Gregerson, Fitzgibbon, Ortiz-Self, Duerr, Tharinger, Macri, Davis, Pollet, Callan, Harris-Talley, and Hackney; by request of Department of Children, Youth, and Families)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rehabilitation; amending RCW 72.01.412, 13.40.020, 13.40.205, 13.40.215, 13.40.220, and 13.04.800;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department of children, youth, and families seeks to expand trauma-informed, culturally relevant, racial equity-based, and developmentally appropriate therapeutic placement supports in less restrictive community settings. Under current law, these supports are limited to placement in community facilities—which are only available for about 25 percent of juvenile rehabilitation's population—and electronic home monitoring for persons serving adult sentences in the custody of the department of children, youth, and families' juvenile rehabilitation who have an earned release date between the ages of 25 and 26.</w:t>
      </w:r>
    </w:p>
    <w:p>
      <w:pPr>
        <w:spacing w:before="0" w:after="0" w:line="408" w:lineRule="exact"/>
        <w:ind w:left="0" w:right="0" w:firstLine="576"/>
        <w:jc w:val="left"/>
      </w:pPr>
      <w:r>
        <w:rPr/>
        <w:t xml:space="preserve">(2) To help reduce the bottleneck of youth and young adults placed in the department's juvenile rehabilitation institutions and enhance community-based, less restrictive options, this act creates a community transition services program, which utilizes electronic home monitoring as a tool embedded in a progressively supportive community-based approach with therapeutic supports for young people reentering the community. This approach considers developmentally appropriate programs for successful reentry by increasing access to community transition services, including housing assistance, behavioral health treatment, independent living, employment, education, and family and community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2019 c 322 s 6 are each amended to read as follows:</w:t>
      </w:r>
    </w:p>
    <w:p>
      <w:pPr>
        <w:spacing w:before="0" w:after="0" w:line="408" w:lineRule="exact"/>
        <w:ind w:left="0" w:right="0" w:firstLine="576"/>
        <w:jc w:val="left"/>
      </w:pPr>
      <w:r>
        <w:rPr/>
        <w:t xml:space="preserve">(1) A person in the custody of the department of children, youth, and families under RCW 72.01.410 </w:t>
      </w:r>
      <w:r>
        <w:t>((</w:t>
      </w:r>
      <w:r>
        <w:rPr>
          <w:strike/>
        </w:rPr>
        <w:t xml:space="preserve">who has an earned release date that is after the person's twenty-fifth birthday but on or before the person's twenty-sixth birthday may, after turning twenty-five, serve the remainder of the person's term of confinement in partial confinement on electronic home monitoring</w:t>
      </w:r>
      <w:r>
        <w:t>))</w:t>
      </w:r>
      <w:r>
        <w:rPr/>
        <w:t xml:space="preserve"> </w:t>
      </w:r>
      <w:r>
        <w:rPr>
          <w:u w:val="single"/>
        </w:rPr>
        <w:t xml:space="preserve">is eligible for community transition services</w:t>
      </w:r>
      <w:r>
        <w:rPr/>
        <w:t xml:space="preserve"> under the authority and supervision of the department of children, youth, and families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(a) After 60 percent of their minimum term of confinement has been served;</w:t>
      </w:r>
    </w:p>
    <w:p>
      <w:pPr>
        <w:spacing w:before="0" w:after="0" w:line="408" w:lineRule="exact"/>
        <w:ind w:left="0" w:right="0" w:firstLine="576"/>
        <w:jc w:val="left"/>
      </w:pPr>
      <w:r>
        <w:rPr>
          <w:u w:val="single"/>
        </w:rPr>
        <w:t xml:space="preserve">(b) If the person has an earned release date that is before their 26th birthday; and</w:t>
      </w:r>
    </w:p>
    <w:p>
      <w:pPr>
        <w:spacing w:before="0" w:after="0" w:line="408" w:lineRule="exact"/>
        <w:ind w:left="0" w:right="0" w:firstLine="576"/>
        <w:jc w:val="left"/>
      </w:pPr>
      <w:r>
        <w:rPr>
          <w:u w:val="single"/>
        </w:rPr>
        <w:t xml:space="preserve">(c) Provided</w:t>
      </w:r>
      <w:r>
        <w:rPr/>
        <w:t xml:space="preserve"> the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u w:val="single"/>
        </w:rPr>
        <w:t xml:space="preserve">(2)</w:t>
      </w:r>
      <w:r>
        <w:rPr/>
        <w:t xml:space="preserve">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placed </w:t>
      </w:r>
      <w:r>
        <w:t>((</w:t>
      </w:r>
      <w:r>
        <w:rPr>
          <w:strike/>
        </w:rPr>
        <w:t xml:space="preserve">on electronic home monitoring</w:t>
      </w:r>
      <w:r>
        <w:t>))</w:t>
      </w:r>
      <w:r>
        <w:rPr/>
        <w:t xml:space="preserve"> </w:t>
      </w:r>
      <w:r>
        <w:rPr>
          <w:u w:val="single"/>
        </w:rPr>
        <w:t xml:space="preserve">in community transition services</w:t>
      </w:r>
      <w:r>
        <w:rPr/>
        <w:t xml:space="preserve"> under this section must </w:t>
      </w:r>
      <w:r>
        <w:t>((</w:t>
      </w:r>
      <w:r>
        <w:rPr>
          <w:strike/>
        </w:rPr>
        <w:t xml:space="preserve">otherwise continue to be subject to similar treatment, options, access to programs and resources, conditions, and restrictions applicable to other similarly situated persons under the jurisdiction of the department of children, youth, and families</w:t>
      </w:r>
      <w:r>
        <w:t>))</w:t>
      </w:r>
      <w:r>
        <w:rPr/>
        <w:t xml:space="preserve"> </w:t>
      </w:r>
      <w:r>
        <w:rPr>
          <w:u w:val="single"/>
        </w:rPr>
        <w:t xml:space="preserve">have access to appropriate treatment and programming as determined by the department of children, youth, and families, including but not limited to:</w:t>
      </w:r>
    </w:p>
    <w:p>
      <w:pPr>
        <w:spacing w:before="0" w:after="0" w:line="408" w:lineRule="exact"/>
        <w:ind w:left="0" w:right="0" w:firstLine="576"/>
        <w:jc w:val="left"/>
      </w:pPr>
      <w:r>
        <w:rPr>
          <w:u w:val="single"/>
        </w:rPr>
        <w:t xml:space="preserve">(a) Behavioral health treatment;</w:t>
      </w:r>
    </w:p>
    <w:p>
      <w:pPr>
        <w:spacing w:before="0" w:after="0" w:line="408" w:lineRule="exact"/>
        <w:ind w:left="0" w:right="0" w:firstLine="576"/>
        <w:jc w:val="left"/>
      </w:pPr>
      <w:r>
        <w:rPr>
          <w:u w:val="single"/>
        </w:rPr>
        <w:t xml:space="preserve">(b) Independent living;</w:t>
      </w:r>
    </w:p>
    <w:p>
      <w:pPr>
        <w:spacing w:before="0" w:after="0" w:line="408" w:lineRule="exact"/>
        <w:ind w:left="0" w:right="0" w:firstLine="576"/>
        <w:jc w:val="left"/>
      </w:pPr>
      <w:r>
        <w:rPr>
          <w:u w:val="single"/>
        </w:rPr>
        <w:t xml:space="preserve">(c) Employment;</w:t>
      </w:r>
    </w:p>
    <w:p>
      <w:pPr>
        <w:spacing w:before="0" w:after="0" w:line="408" w:lineRule="exact"/>
        <w:ind w:left="0" w:right="0" w:firstLine="576"/>
        <w:jc w:val="left"/>
      </w:pPr>
      <w:r>
        <w:rPr>
          <w:u w:val="single"/>
        </w:rPr>
        <w:t xml:space="preserve">(d) Education;</w:t>
      </w:r>
    </w:p>
    <w:p>
      <w:pPr>
        <w:spacing w:before="0" w:after="0" w:line="408" w:lineRule="exact"/>
        <w:ind w:left="0" w:right="0" w:firstLine="576"/>
        <w:jc w:val="left"/>
      </w:pPr>
      <w:r>
        <w:rPr>
          <w:u w:val="single"/>
        </w:rPr>
        <w:t xml:space="preserve">(e) Connections to family and natural supports; and</w:t>
      </w:r>
    </w:p>
    <w:p>
      <w:pPr>
        <w:spacing w:before="0" w:after="0" w:line="408" w:lineRule="exact"/>
        <w:ind w:left="0" w:right="0" w:firstLine="576"/>
        <w:jc w:val="left"/>
      </w:pPr>
      <w:r>
        <w:rPr>
          <w:u w:val="single"/>
        </w:rPr>
        <w:t xml:space="preserve">(f) Community connections</w:t>
      </w:r>
      <w:r>
        <w:rPr/>
        <w:t xml:space="preserve">.</w:t>
      </w:r>
    </w:p>
    <w:p>
      <w:pPr>
        <w:spacing w:before="0" w:after="0" w:line="408" w:lineRule="exact"/>
        <w:ind w:left="0" w:right="0" w:firstLine="576"/>
        <w:jc w:val="left"/>
      </w:pPr>
      <w:r>
        <w:rPr>
          <w:u w:val="single"/>
        </w:rPr>
        <w:t xml:space="preserve">(4)</w:t>
      </w:r>
      <w:r>
        <w:rPr/>
        <w:t xml:space="preserve">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If a person placed on </w:t>
      </w:r>
      <w:r>
        <w:t>((</w:t>
      </w:r>
      <w:r>
        <w:rPr>
          <w:strike/>
        </w:rPr>
        <w:t xml:space="preserve">electronic home monitoring</w:t>
      </w:r>
      <w:r>
        <w:t>))</w:t>
      </w:r>
      <w:r>
        <w:rPr/>
        <w:t xml:space="preserve"> </w:t>
      </w:r>
      <w:r>
        <w:rPr>
          <w:u w:val="single"/>
        </w:rPr>
        <w:t xml:space="preserve">community transition services</w:t>
      </w:r>
      <w:r>
        <w:rPr/>
        <w:t xml:space="preserve"> under this section commits a violation requiring the return of the person to total confinement </w:t>
      </w:r>
      <w:r>
        <w:rPr>
          <w:u w:val="single"/>
        </w:rPr>
        <w:t xml:space="preserve">after the person's 25th birthday</w:t>
      </w:r>
      <w:r>
        <w:rPr/>
        <w:t xml:space="preserve">, the person must be transferred to the custody and supervision of the department of corrections for the remainder of the sentence.</w:t>
      </w:r>
    </w:p>
    <w:p>
      <w:pPr>
        <w:spacing w:before="0" w:after="0" w:line="408" w:lineRule="exact"/>
        <w:ind w:left="0" w:right="0" w:firstLine="576"/>
        <w:jc w:val="left"/>
      </w:pPr>
      <w:r>
        <w:rPr>
          <w:u w:val="single"/>
        </w:rPr>
        <w:t xml:space="preserve">(6) The following persons are not eligible for community transition services under this section:</w:t>
      </w:r>
    </w:p>
    <w:p>
      <w:pPr>
        <w:spacing w:before="0" w:after="0" w:line="408" w:lineRule="exact"/>
        <w:ind w:left="0" w:right="0" w:firstLine="576"/>
        <w:jc w:val="left"/>
      </w:pPr>
      <w:r>
        <w:rPr>
          <w:u w:val="single"/>
        </w:rPr>
        <w:t xml:space="preserve">(a) Persons with pending charges or warrants;</w:t>
      </w:r>
    </w:p>
    <w:p>
      <w:pPr>
        <w:spacing w:before="0" w:after="0" w:line="408" w:lineRule="exact"/>
        <w:ind w:left="0" w:right="0" w:firstLine="576"/>
        <w:jc w:val="left"/>
      </w:pPr>
      <w:r>
        <w:rPr>
          <w:u w:val="single"/>
        </w:rPr>
        <w:t xml:space="preserve">(b) Level III sex offenders; and</w:t>
      </w:r>
    </w:p>
    <w:p>
      <w:pPr>
        <w:spacing w:before="0" w:after="0" w:line="408" w:lineRule="exact"/>
        <w:ind w:left="0" w:right="0" w:firstLine="576"/>
        <w:jc w:val="left"/>
      </w:pPr>
      <w:r>
        <w:rPr>
          <w:u w:val="single"/>
        </w:rPr>
        <w:t xml:space="preserve">(c) Persons requiring out-of-state placement.</w:t>
      </w:r>
    </w:p>
    <w:p>
      <w:pPr>
        <w:spacing w:before="0" w:after="0" w:line="408" w:lineRule="exact"/>
        <w:ind w:left="0" w:right="0" w:firstLine="576"/>
        <w:jc w:val="left"/>
      </w:pPr>
      <w:r>
        <w:rPr>
          <w:u w:val="single"/>
        </w:rPr>
        <w:t xml:space="preserve">(7) As used in this section, "community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u w:val="single"/>
        </w:rPr>
        <w:t xml:space="preserve">(b) The department of children, youth, and families supervises the person in part through the use of technology that is capable of determining or identifying the monitored person's presence or absence at a particular location; and</w:t>
      </w:r>
    </w:p>
    <w:p>
      <w:pPr>
        <w:spacing w:before="0" w:after="0" w:line="408" w:lineRule="exact"/>
        <w:ind w:left="0" w:right="0" w:firstLine="576"/>
        <w:jc w:val="left"/>
      </w:pPr>
      <w:r>
        <w:rPr>
          <w:u w:val="single"/>
        </w:rPr>
        <w:t xml:space="preserve">(c) The department of children, youth, and families provides access to developmentally appropriate, trauma-informed, racial equity-based, and culturally relevant programs to promote successful reentry.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w:t>
      </w:r>
      <w:r>
        <w:rPr>
          <w:u w:val="single"/>
        </w:rPr>
        <w:t xml:space="preserve">"Community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u w:val="single"/>
        </w:rPr>
        <w:t xml:space="preserve">(b) The department supervises the person in part through the use of technology that is capable of determining or identifying the monitored person's presence or absence at a particular location; and</w:t>
      </w:r>
    </w:p>
    <w:p>
      <w:pPr>
        <w:spacing w:before="0" w:after="0" w:line="408" w:lineRule="exact"/>
        <w:ind w:left="0" w:right="0" w:firstLine="576"/>
        <w:jc w:val="left"/>
      </w:pPr>
      <w:r>
        <w:rPr>
          <w:u w:val="single"/>
        </w:rPr>
        <w:t xml:space="preserve">(c) The department provides access to developmentally appropriate, trauma-informed, racial equity-based, and culturally relevant programs to promote successful reentry;</w:t>
      </w:r>
    </w:p>
    <w:p>
      <w:pPr>
        <w:spacing w:before="0" w:after="0" w:line="408" w:lineRule="exact"/>
        <w:ind w:left="0" w:right="0" w:firstLine="576"/>
        <w:jc w:val="left"/>
      </w:pPr>
      <w:r>
        <w:rPr>
          <w:u w:val="single"/>
        </w:rPr>
        <w:t xml:space="preserve">(7)</w:t>
      </w:r>
      <w:r>
        <w:rPr/>
        <w:t xml:space="preserve">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when used without further qualification, means the juvenile court judge(s) or commissioner(s);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u w:val="single"/>
        </w:rPr>
        <w:t xml:space="preserve">(31)</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"Sexual motivation" means that one of the purposes for which the respondent committed the offense was for the purpose of his or her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w:t>
      </w:r>
      <w:r>
        <w:rPr>
          <w:u w:val="single"/>
        </w:rPr>
        <w:t xml:space="preserve">or community transition services under subsection (13) of this section</w:t>
      </w:r>
      <w:r>
        <w:rPr/>
        <w:t xml:space="preserve"> to the victim or the victim's immediate family.</w:t>
      </w:r>
    </w:p>
    <w:p>
      <w:pPr>
        <w:spacing w:before="0" w:after="0" w:line="408" w:lineRule="exact"/>
        <w:ind w:left="0" w:right="0" w:firstLine="576"/>
        <w:jc w:val="left"/>
      </w:pPr>
      <w:r>
        <w:rPr/>
        <w:t xml:space="preserve">(9) A juvenile who violates any condition of an authorized leave plan </w:t>
      </w:r>
      <w:r>
        <w:rPr>
          <w:u w:val="single"/>
        </w:rPr>
        <w:t xml:space="preserve">or community transition services under subsection (13) of this section</w:t>
      </w:r>
      <w:r>
        <w:rPr/>
        <w:t xml:space="preserve"> may be taken into custody and returned to the department in the same manner as an adult in identical circumstances.</w:t>
      </w:r>
    </w:p>
    <w:p>
      <w:pPr>
        <w:spacing w:before="0" w:after="0" w:line="408" w:lineRule="exact"/>
        <w:ind w:left="0" w:right="0" w:firstLine="576"/>
        <w:jc w:val="left"/>
      </w:pPr>
      <w:r>
        <w:rPr/>
        <w:t xml:space="preserve">(10) </w:t>
      </w:r>
      <w:r>
        <w:rPr>
          <w:u w:val="single"/>
        </w:rPr>
        <w:t xml:space="preserve">Community transition services is an electronic monitoring program as that term is used in RCW 9A.76.130.</w:t>
      </w:r>
    </w:p>
    <w:p>
      <w:pPr>
        <w:spacing w:before="0" w:after="0" w:line="408" w:lineRule="exact"/>
        <w:ind w:left="0" w:right="0" w:firstLine="576"/>
        <w:jc w:val="left"/>
      </w:pPr>
      <w:r>
        <w:rPr>
          <w:u w:val="single"/>
        </w:rPr>
        <w:t xml:space="preserve">(11)</w:t>
      </w:r>
      <w:r>
        <w:rPr/>
        <w:t xml:space="preserve"> Notwithstanding the provisions of this section, a juvenile placed in minimum security status </w:t>
      </w:r>
      <w:r>
        <w:rPr>
          <w:u w:val="single"/>
        </w:rPr>
        <w:t xml:space="preserve">or in community transition services under subsection (13) of this section</w:t>
      </w:r>
      <w:r>
        <w:rPr/>
        <w:t xml:space="preserve"> may participate in work, educational, community restitution, or treatment programs in the community up to twelve hours a day if approved by the secretary. Such a release shall not be deemed a leave of absence. 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Subsections (6), (7), and (8) of this section do not apply to juveniles covered by RCW 13.40.215.</w:t>
      </w:r>
    </w:p>
    <w:p>
      <w:pPr>
        <w:spacing w:before="0" w:after="0" w:line="408" w:lineRule="exact"/>
        <w:ind w:left="0" w:right="0" w:firstLine="576"/>
        <w:jc w:val="left"/>
      </w:pPr>
      <w:r>
        <w:rPr>
          <w:u w:val="single"/>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The department shall establish appropriate conditions the person must comply with to remain in community transition services. A person must have served 60 percent of their minimum term of confinement before becoming eligible for community transition services under the authority and supervision of the department.</w:t>
      </w:r>
    </w:p>
    <w:p>
      <w:pPr>
        <w:spacing w:before="0" w:after="0" w:line="408" w:lineRule="exact"/>
        <w:ind w:left="0" w:right="0" w:firstLine="576"/>
        <w:jc w:val="left"/>
      </w:pPr>
      <w:r>
        <w:rPr>
          <w:u w:val="single"/>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u w:val="single"/>
        </w:rPr>
        <w:t xml:space="preserve">(i) Behavioral health treatment;</w:t>
      </w:r>
    </w:p>
    <w:p>
      <w:pPr>
        <w:spacing w:before="0" w:after="0" w:line="408" w:lineRule="exact"/>
        <w:ind w:left="0" w:right="0" w:firstLine="576"/>
        <w:jc w:val="left"/>
      </w:pPr>
      <w:r>
        <w:rPr>
          <w:u w:val="single"/>
        </w:rPr>
        <w:t xml:space="preserve">(ii) Independent living;</w:t>
      </w:r>
    </w:p>
    <w:p>
      <w:pPr>
        <w:spacing w:before="0" w:after="0" w:line="408" w:lineRule="exact"/>
        <w:ind w:left="0" w:right="0" w:firstLine="576"/>
        <w:jc w:val="left"/>
      </w:pPr>
      <w:r>
        <w:rPr>
          <w:u w:val="single"/>
        </w:rPr>
        <w:t xml:space="preserve">(iii) Employment;</w:t>
      </w:r>
    </w:p>
    <w:p>
      <w:pPr>
        <w:spacing w:before="0" w:after="0" w:line="408" w:lineRule="exact"/>
        <w:ind w:left="0" w:right="0" w:firstLine="576"/>
        <w:jc w:val="left"/>
      </w:pPr>
      <w:r>
        <w:rPr>
          <w:u w:val="single"/>
        </w:rPr>
        <w:t xml:space="preserve">(iv) Education;</w:t>
      </w:r>
    </w:p>
    <w:p>
      <w:pPr>
        <w:spacing w:before="0" w:after="0" w:line="408" w:lineRule="exact"/>
        <w:ind w:left="0" w:right="0" w:firstLine="576"/>
        <w:jc w:val="left"/>
      </w:pPr>
      <w:r>
        <w:rPr>
          <w:u w:val="single"/>
        </w:rPr>
        <w:t xml:space="preserve">(v) Connections to family and natural supports; and</w:t>
      </w:r>
    </w:p>
    <w:p>
      <w:pPr>
        <w:spacing w:before="0" w:after="0" w:line="408" w:lineRule="exact"/>
        <w:ind w:left="0" w:right="0" w:firstLine="576"/>
        <w:jc w:val="left"/>
      </w:pPr>
      <w:r>
        <w:rPr>
          <w:u w:val="single"/>
        </w:rPr>
        <w:t xml:space="preserve">(vi) Community connections</w:t>
      </w:r>
      <w:r>
        <w:rPr>
          <w:u w:val="single"/>
        </w:rPr>
        <w:t xml:space="preserve">.</w:t>
      </w:r>
    </w:p>
    <w:p>
      <w:pPr>
        <w:spacing w:before="0" w:after="0" w:line="408" w:lineRule="exact"/>
        <w:ind w:left="0" w:right="0" w:firstLine="576"/>
        <w:jc w:val="left"/>
      </w:pPr>
      <w:r>
        <w:rPr>
          <w:u w:val="single"/>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u w:val="single"/>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u w:val="single"/>
        </w:rPr>
        <w:t xml:space="preserve">(e) The following persons are not eligible for community transition services under this section:</w:t>
      </w:r>
    </w:p>
    <w:p>
      <w:pPr>
        <w:spacing w:before="0" w:after="0" w:line="408" w:lineRule="exact"/>
        <w:ind w:left="0" w:right="0" w:firstLine="576"/>
        <w:jc w:val="left"/>
      </w:pPr>
      <w:r>
        <w:rPr>
          <w:u w:val="single"/>
        </w:rPr>
        <w:t xml:space="preserve">(i) Persons with pending charges or warrants;</w:t>
      </w:r>
    </w:p>
    <w:p>
      <w:pPr>
        <w:spacing w:before="0" w:after="0" w:line="408" w:lineRule="exact"/>
        <w:ind w:left="0" w:right="0" w:firstLine="576"/>
        <w:jc w:val="left"/>
      </w:pPr>
      <w:r>
        <w:rPr>
          <w:u w:val="single"/>
        </w:rPr>
        <w:t xml:space="preserve">(ii) Level III sex offenders; and</w:t>
      </w:r>
    </w:p>
    <w:p>
      <w:pPr>
        <w:spacing w:before="0" w:after="0" w:line="408" w:lineRule="exact"/>
        <w:ind w:left="0" w:right="0" w:firstLine="576"/>
        <w:jc w:val="left"/>
      </w:pPr>
      <w:r>
        <w:rPr>
          <w:u w:val="single"/>
        </w:rPr>
        <w:t xml:space="preserve">(iii) Persons requiring out-of-state placement.</w:t>
      </w:r>
    </w:p>
    <w:p>
      <w:pPr>
        <w:spacing w:before="0" w:after="0" w:line="408" w:lineRule="exact"/>
        <w:ind w:left="0" w:right="0" w:firstLine="576"/>
        <w:jc w:val="left"/>
      </w:pPr>
      <w:r>
        <w:rPr>
          <w:u w:val="single"/>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2020 c 167 s 7 are each amended to read as follows:</w:t>
      </w:r>
    </w:p>
    <w:p>
      <w:pPr>
        <w:spacing w:before="0" w:after="0" w:line="408" w:lineRule="exact"/>
        <w:ind w:left="0" w:right="0" w:firstLine="576"/>
        <w:jc w:val="left"/>
      </w:pPr>
      <w:r>
        <w:rPr/>
        <w:t xml:space="preserve">(1)(a)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and</w:t>
      </w:r>
    </w:p>
    <w:p>
      <w:pPr>
        <w:spacing w:before="0" w:after="0" w:line="408" w:lineRule="exact"/>
        <w:ind w:left="0" w:right="0" w:firstLine="576"/>
        <w:jc w:val="left"/>
      </w:pPr>
      <w:r>
        <w:rPr/>
        <w:t xml:space="preserve">(ii) The sheriff of the county in which the juvenile will reside.</w:t>
      </w:r>
    </w:p>
    <w:p>
      <w:pPr>
        <w:spacing w:before="0" w:after="0" w:line="408" w:lineRule="exact"/>
        <w:ind w:left="0" w:right="0" w:firstLine="576"/>
        <w:jc w:val="left"/>
      </w:pPr>
      <w:r>
        <w:rPr/>
        <w:t xml:space="preserve">(b)(i)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t xml:space="preserve">(ii) The community residential facility shall provide written notice of the offender's criminal history to the designated recipient of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2017 3rd sp.s. c 6 s 610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administrative procedure act,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74.13A.005 through 74.13A.080, parents eligible to receive adoption support under RCW 74.13A.085,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0" w:after="0" w:line="408" w:lineRule="exact"/>
        <w:ind w:left="0" w:right="0" w:firstLine="576"/>
        <w:jc w:val="left"/>
      </w:pPr>
      <w:r>
        <w:rPr>
          <w:u w:val="single"/>
        </w:rPr>
        <w:t xml:space="preserve">(11) This section does not apply to juveniles or young adults in a community transition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adopt rules, policies, and procedures as may be needed to implement a community transition services program required by this act, to include the following:</w:t>
      </w:r>
    </w:p>
    <w:p>
      <w:pPr>
        <w:spacing w:before="0" w:after="0" w:line="408" w:lineRule="exact"/>
        <w:ind w:left="0" w:right="0" w:firstLine="576"/>
        <w:jc w:val="left"/>
      </w:pPr>
      <w:r>
        <w:rPr/>
        <w:t xml:space="preserve">(1) Identification and regular monitoring of metrics of quality implementation for the community transition program, and regularly publishing outcome analyses for program participants; and</w:t>
      </w:r>
    </w:p>
    <w:p>
      <w:pPr>
        <w:spacing w:before="0" w:after="0" w:line="408" w:lineRule="exact"/>
        <w:ind w:left="0" w:right="0" w:firstLine="576"/>
        <w:jc w:val="left"/>
      </w:pPr>
      <w:r>
        <w:rPr/>
        <w:t xml:space="preserve">(2) Allowing for the use of new electronic home monitoring equipment and technologies as they become available that eliminate or minimize trauma, social stigma, and racial injustice, and imposing penalties for the knowing or intentional tampering, damaging, or destruction of equipment that renders it not fully functional.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children, youth, and families may issue rental vouchers for a period not to exceed six months for those transferring to community transition services under this act if an approved address cannot be obtained without the assistance of a voucher.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800</w:t>
      </w:r>
      <w:r>
        <w:rPr/>
        <w:t xml:space="preserve"> and 2019 c 322 s 5 are each amended to read as follows:</w:t>
      </w:r>
    </w:p>
    <w:p>
      <w:pPr>
        <w:spacing w:before="0" w:after="0" w:line="408" w:lineRule="exact"/>
        <w:ind w:left="0" w:right="0" w:firstLine="576"/>
        <w:jc w:val="left"/>
      </w:pPr>
      <w:r>
        <w:rPr/>
        <w:t xml:space="preserve">(1) The Washington state institute for public policy must:</w:t>
      </w:r>
    </w:p>
    <w:p>
      <w:pPr>
        <w:spacing w:before="0" w:after="0" w:line="408" w:lineRule="exact"/>
        <w:ind w:left="0" w:right="0" w:firstLine="576"/>
        <w:jc w:val="left"/>
      </w:pPr>
      <w:r>
        <w:rPr/>
        <w:t xml:space="preserve">(a) Assess the impact of chapter 162, Laws of 2018, </w:t>
      </w:r>
      <w:r>
        <w:t>((</w:t>
      </w:r>
      <w:r>
        <w:rPr>
          <w:strike/>
        </w:rPr>
        <w:t xml:space="preserve">and</w:t>
      </w:r>
      <w:r>
        <w:t>))</w:t>
      </w:r>
      <w:r>
        <w:rPr/>
        <w:t xml:space="preserve"> sections 2 through 6, chapter 322, Laws of 2019</w:t>
      </w:r>
      <w:r>
        <w:rPr>
          <w:u w:val="single"/>
        </w:rPr>
        <w:t xml:space="preserve">, and sections 2 and 3, chapter . . ., Laws of 2021 (sections 2 and 3 of this act)</w:t>
      </w:r>
      <w:r>
        <w:rPr/>
        <w:t xml:space="preserve"> on community safety, racial disproportionality, recidivism, state expenditures, and youth rehabilitation, to the extent possible; and</w:t>
      </w:r>
    </w:p>
    <w:p>
      <w:pPr>
        <w:spacing w:before="0" w:after="0" w:line="408" w:lineRule="exact"/>
        <w:ind w:left="0" w:right="0" w:firstLine="576"/>
        <w:jc w:val="left"/>
      </w:pPr>
      <w:r>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t xml:space="preserve">(2) The institute shall submit, in compliance with RCW 43.01.036, a preliminary report on the requirements listed in subsection (1) of this section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6, 8, and 9 of this act take effect six months after the department of children, youth, and families designs and implements a risk assessment tool as defined in RCW 13.40.020 used to determine eligibility for "community transition services" as provided under RCW 13.40.205(13) and provides notice as required under subsection (2) of this section.</w:t>
      </w:r>
    </w:p>
    <w:p>
      <w:pPr>
        <w:spacing w:before="0" w:after="0" w:line="408" w:lineRule="exact"/>
        <w:ind w:left="0" w:right="0" w:firstLine="576"/>
        <w:jc w:val="left"/>
      </w:pPr>
      <w:r>
        <w:rPr/>
        <w:t xml:space="preserve">(2) The department of children, youth, and families must provide notice of the implementation of a risk assessment tool described under subsection (1) of this section to affected parties, the chief clerk of the house of representatives, the secretary of the senate, the office of the code reviser, and others as deemed appropriate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649765fd54af48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44f5bf712412a" /><Relationship Type="http://schemas.openxmlformats.org/officeDocument/2006/relationships/footer" Target="/word/footer1.xml" Id="R649765fd54af4821" /></Relationships>
</file>