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f72b49a2224752" /></Relationships>
</file>

<file path=word/document.xml><?xml version="1.0" encoding="utf-8"?>
<w:document xmlns:w="http://schemas.openxmlformats.org/wordprocessingml/2006/main">
  <w:body>
    <w:p>
      <w:r>
        <w:t>H-1008.1</w:t>
      </w:r>
    </w:p>
    <w:p>
      <w:pPr>
        <w:jc w:val="center"/>
      </w:pPr>
      <w:r>
        <w:t>_______________________________________________</w:t>
      </w:r>
    </w:p>
    <w:p/>
    <w:p>
      <w:pPr>
        <w:jc w:val="center"/>
      </w:pPr>
      <w:r>
        <w:rPr>
          <w:b/>
        </w:rPr>
        <w:t>SECOND SUBSTITUTE HOUSE BILL 1194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Ortiz-Self, Senn, Young, Santos, Callan, Morgan, Davis, and Harris-Talley)</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parent-child visitation during child welfare proceedings; amending RCW 13.34.065, 13.34.136, and 13.34.138;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taken into custody, the court shall hold a shelter care hearing within </w:t>
      </w:r>
      <w:r>
        <w:t>((</w:t>
      </w:r>
      <w:r>
        <w:rPr>
          <w:strike/>
        </w:rPr>
        <w:t xml:space="preserve">seventy-two</w:t>
      </w:r>
      <w:r>
        <w:t>))</w:t>
      </w:r>
      <w:r>
        <w:rPr/>
        <w:t xml:space="preserve"> </w:t>
      </w:r>
      <w:r>
        <w:rPr>
          <w:u w:val="single"/>
        </w:rPr>
        <w:t xml:space="preserve">72</w:t>
      </w:r>
      <w:r>
        <w:rPr/>
        <w:t xml:space="preserve">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w:t>
      </w:r>
      <w:r>
        <w:t>((</w:t>
      </w:r>
      <w:r>
        <w:rPr>
          <w:strike/>
        </w:rPr>
        <w:t xml:space="preserve">seventy-two</w:t>
      </w:r>
      <w:r>
        <w:t>))</w:t>
      </w:r>
      <w:r>
        <w:rPr/>
        <w:t xml:space="preserve"> </w:t>
      </w:r>
      <w:r>
        <w:rPr>
          <w:u w:val="single"/>
        </w:rPr>
        <w:t xml:space="preserve">72</w:t>
      </w:r>
      <w:r>
        <w:rPr/>
        <w:t xml:space="preserve">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w:t>
      </w:r>
      <w:r>
        <w:t>((</w:t>
      </w:r>
      <w:r>
        <w:rPr>
          <w:strike/>
        </w:rPr>
        <w:t xml:space="preserve">seventy-two</w:t>
      </w:r>
      <w:r>
        <w:t>))</w:t>
      </w:r>
      <w:r>
        <w:rPr/>
        <w:t xml:space="preserve"> </w:t>
      </w:r>
      <w:r>
        <w:rPr>
          <w:u w:val="single"/>
        </w:rPr>
        <w:t xml:space="preserve">72</w:t>
      </w:r>
      <w:r>
        <w:rPr/>
        <w:t xml:space="preserve"> hours, the department shall submit a recommendation to the court as to the further need for shelter care in all cases in which the child will remain in shelter care longer than the </w:t>
      </w:r>
      <w:r>
        <w:t>((</w:t>
      </w:r>
      <w:r>
        <w:rPr>
          <w:strike/>
        </w:rPr>
        <w:t xml:space="preserve">seventy-two</w:t>
      </w:r>
      <w:r>
        <w:t>))</w:t>
      </w:r>
      <w:r>
        <w:rPr/>
        <w:t xml:space="preserve"> </w:t>
      </w:r>
      <w:r>
        <w:rPr>
          <w:u w:val="single"/>
        </w:rPr>
        <w:t xml:space="preserve">72</w:t>
      </w:r>
      <w:r>
        <w:rPr/>
        <w:t xml:space="preserve">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If the child is placed in a qualified residential treatment program as defined in this chapter, the court shall, within </w:t>
      </w:r>
      <w:r>
        <w:t>((</w:t>
      </w:r>
      <w:r>
        <w:rPr>
          <w:strike/>
        </w:rPr>
        <w:t xml:space="preserve">sixty</w:t>
      </w:r>
      <w:r>
        <w:t>))</w:t>
      </w:r>
      <w:r>
        <w:rPr/>
        <w:t xml:space="preserve"> </w:t>
      </w:r>
      <w:r>
        <w:rPr>
          <w:u w:val="single"/>
        </w:rPr>
        <w:t xml:space="preserve">60</w:t>
      </w:r>
      <w:r>
        <w:rPr/>
        <w:t xml:space="preserve">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(g)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w:t>
      </w:r>
      <w:r>
        <w:t>((</w:t>
      </w:r>
      <w:r>
        <w:rPr>
          <w:strike/>
        </w:rPr>
        <w:t xml:space="preserve">thirty</w:t>
      </w:r>
      <w:r>
        <w:t>))</w:t>
      </w:r>
      <w:r>
        <w:rPr/>
        <w:t xml:space="preserve"> </w:t>
      </w:r>
      <w:r>
        <w:rPr>
          <w:u w:val="single"/>
        </w:rPr>
        <w:t xml:space="preserve">30</w:t>
      </w:r>
      <w:r>
        <w:rPr/>
        <w:t xml:space="preserve">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w:t>
      </w:r>
      <w:r>
        <w:rPr>
          <w:u w:val="single"/>
        </w:rPr>
        <w:t xml:space="preserve">(i)</w:t>
      </w:r>
      <w:r>
        <w:rPr/>
        <w:t xml:space="preserve">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u w:val="single"/>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the department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0" w:after="0" w:line="408" w:lineRule="exact"/>
        <w:ind w:left="0" w:right="0" w:firstLine="576"/>
        <w:jc w:val="left"/>
      </w:pPr>
      <w:r>
        <w:rPr>
          <w:u w:val="single"/>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u w:val="single"/>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u w:val="single"/>
        </w:rPr>
        <w:t xml:space="preserve">(c) Visitation under this subsection may only be limited where necessary to ensure the health, safety, or welfare of the child.</w:t>
      </w:r>
    </w:p>
    <w:p>
      <w:pPr>
        <w:spacing w:before="0" w:after="0" w:line="408" w:lineRule="exact"/>
        <w:ind w:left="0" w:right="0" w:firstLine="576"/>
        <w:jc w:val="left"/>
      </w:pPr>
      <w:r>
        <w:rPr>
          <w:u w:val="single"/>
        </w:rPr>
        <w:t xml:space="preserve">(d) The first visit under this subsection must take place within 72 hours of removal, unless the court finds that extraordinary circumstances require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2020 c 312 s 117 are each amended to read as follows:</w:t>
      </w:r>
    </w:p>
    <w:p>
      <w:pPr>
        <w:spacing w:before="0" w:after="0" w:line="408" w:lineRule="exact"/>
        <w:ind w:left="0" w:right="0" w:firstLine="576"/>
        <w:jc w:val="left"/>
      </w:pPr>
      <w:r>
        <w:rPr/>
        <w:t xml:space="preserve">(1) Whenever a child is ordered </w:t>
      </w:r>
      <w:r>
        <w:rPr>
          <w:u w:val="single"/>
        </w:rPr>
        <w:t xml:space="preserve">to be</w:t>
      </w:r>
      <w:r>
        <w:rPr/>
        <w:t xml:space="preserve"> removed from the home, a permanency plan shall be developed no later than </w:t>
      </w:r>
      <w:r>
        <w:t>((</w:t>
      </w:r>
      <w:r>
        <w:rPr>
          <w:strike/>
        </w:rPr>
        <w:t xml:space="preserve">sixty</w:t>
      </w:r>
      <w:r>
        <w:t>))</w:t>
      </w:r>
      <w:r>
        <w:rPr/>
        <w:t xml:space="preserve"> </w:t>
      </w:r>
      <w:r>
        <w:rPr>
          <w:u w:val="single"/>
        </w:rPr>
        <w:t xml:space="preserve">60</w:t>
      </w:r>
      <w:r>
        <w:rPr/>
        <w:t xml:space="preserve">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w:t>
      </w:r>
      <w:r>
        <w:t>((</w:t>
      </w:r>
      <w:r>
        <w:rPr>
          <w:strike/>
        </w:rPr>
        <w:t xml:space="preserve">fourteen</w:t>
      </w:r>
      <w:r>
        <w:t>))</w:t>
      </w:r>
      <w:r>
        <w:rPr/>
        <w:t xml:space="preserve"> </w:t>
      </w:r>
      <w:r>
        <w:rPr>
          <w:u w:val="single"/>
        </w:rPr>
        <w:t xml:space="preserve">14</w:t>
      </w:r>
      <w:r>
        <w:rPr/>
        <w:t xml:space="preserve">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pursuant to chapter 13.36 RCW; guardianship of a minor pursuant to RCW 11.130.215; long-term relative or foster care, if the child is between ages </w:t>
      </w:r>
      <w:r>
        <w:t>((</w:t>
      </w:r>
      <w:r>
        <w:rPr>
          <w:strike/>
        </w:rPr>
        <w:t xml:space="preserve">sixteen</w:t>
      </w:r>
      <w:r>
        <w:t>))</w:t>
      </w:r>
      <w:r>
        <w:rPr/>
        <w:t xml:space="preserve"> </w:t>
      </w:r>
      <w:r>
        <w:rPr>
          <w:u w:val="single"/>
        </w:rPr>
        <w:t xml:space="preserve">16</w:t>
      </w:r>
      <w:r>
        <w:rPr/>
        <w:t xml:space="preserve"> and </w:t>
      </w:r>
      <w:r>
        <w:t>((</w:t>
      </w:r>
      <w:r>
        <w:rPr>
          <w:strike/>
        </w:rPr>
        <w:t xml:space="preserve">eighteen</w:t>
      </w:r>
      <w:r>
        <w:t>))</w:t>
      </w:r>
      <w:r>
        <w:rPr/>
        <w:t xml:space="preserve"> </w:t>
      </w:r>
      <w:r>
        <w:rPr>
          <w:u w:val="single"/>
        </w:rPr>
        <w:t xml:space="preserve">18</w:t>
      </w:r>
      <w:r>
        <w:rPr/>
        <w:t xml:space="preserve">, with a written agreement between the parties and the care provider; successful completion of a responsible living skills program; or independent living, if appropriate and if the child is age </w:t>
      </w:r>
      <w:r>
        <w:t>((</w:t>
      </w:r>
      <w:r>
        <w:rPr>
          <w:strike/>
        </w:rPr>
        <w:t xml:space="preserve">sixteen</w:t>
      </w:r>
      <w:r>
        <w:t>))</w:t>
      </w:r>
      <w:r>
        <w:rPr/>
        <w:t xml:space="preserve"> </w:t>
      </w:r>
      <w:r>
        <w:rPr>
          <w:u w:val="single"/>
        </w:rPr>
        <w:t xml:space="preserve">16</w:t>
      </w:r>
      <w:r>
        <w:rPr/>
        <w:t xml:space="preserve"> or older. Although a permanency plan of care may only identify long-term relative or foster care for children between ages </w:t>
      </w:r>
      <w:r>
        <w:t>((</w:t>
      </w:r>
      <w:r>
        <w:rPr>
          <w:strike/>
        </w:rPr>
        <w:t xml:space="preserve">sixteen</w:t>
      </w:r>
      <w:r>
        <w:t>))</w:t>
      </w:r>
      <w:r>
        <w:rPr/>
        <w:t xml:space="preserve"> </w:t>
      </w:r>
      <w:r>
        <w:rPr>
          <w:u w:val="single"/>
        </w:rPr>
        <w:t xml:space="preserve">16</w:t>
      </w:r>
      <w:r>
        <w:rPr/>
        <w:t xml:space="preserve"> and </w:t>
      </w:r>
      <w:r>
        <w:t>((</w:t>
      </w:r>
      <w:r>
        <w:rPr>
          <w:strike/>
        </w:rPr>
        <w:t xml:space="preserve">eighteen</w:t>
      </w:r>
      <w:r>
        <w:t>))</w:t>
      </w:r>
      <w:r>
        <w:rPr/>
        <w:t xml:space="preserve"> </w:t>
      </w:r>
      <w:r>
        <w:rPr>
          <w:u w:val="single"/>
        </w:rPr>
        <w:t xml:space="preserve">18</w:t>
      </w:r>
      <w:r>
        <w:rPr/>
        <w:t xml:space="preserve">, children under </w:t>
      </w:r>
      <w:r>
        <w:t>((</w:t>
      </w:r>
      <w:r>
        <w:rPr>
          <w:strike/>
        </w:rPr>
        <w:t xml:space="preserve">sixteen</w:t>
      </w:r>
      <w:r>
        <w:t>))</w:t>
      </w:r>
      <w:r>
        <w:rPr/>
        <w:t xml:space="preserve"> </w:t>
      </w:r>
      <w:r>
        <w:rPr>
          <w:u w:val="single"/>
        </w:rPr>
        <w:t xml:space="preserve">16</w:t>
      </w:r>
      <w:r>
        <w:rPr/>
        <w:t xml:space="preserve"> may remain placed with relatives or in foster care. The department shall not discharge a child to an independent living situation before the child is </w:t>
      </w:r>
      <w:r>
        <w:t>((</w:t>
      </w:r>
      <w:r>
        <w:rPr>
          <w:strike/>
        </w:rPr>
        <w:t xml:space="preserve">eighteen</w:t>
      </w:r>
      <w:r>
        <w:t>))</w:t>
      </w:r>
      <w:r>
        <w:rPr/>
        <w:t xml:space="preserve"> </w:t>
      </w:r>
      <w:r>
        <w:rPr>
          <w:u w:val="single"/>
        </w:rPr>
        <w:t xml:space="preserve">18</w:t>
      </w:r>
      <w:r>
        <w:rPr/>
        <w:t xml:space="preserve">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t>
      </w:r>
      <w:r>
        <w:rPr>
          <w:u w:val="single"/>
        </w:rPr>
        <w:t xml:space="preserve">Visitation must occur in the least restrictive setting and be unsupervised unless the presence of threats or danger to the child requires the constant presence of an adult to ensure the safety of the child.</w:t>
      </w:r>
      <w:r>
        <w:rPr/>
        <w:t xml:space="preserv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u w:val="single"/>
        </w:rPr>
        <w:t xml:space="preserve">(E) If the court previously ordered that visitation between a parent and child be supervised or monitored, there shall be a presumption that such supervision or monitoring will no longer be necessary when the permanency plan is entered. To overcome this presumption, the department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u w:val="single"/>
        </w:rPr>
        <w:t xml:space="preserve">(F)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13.34.130(9),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w:t>
      </w:r>
      <w:r>
        <w:t>((</w:t>
      </w:r>
      <w:r>
        <w:rPr>
          <w:strike/>
        </w:rPr>
        <w:t xml:space="preserve">fifteen</w:t>
      </w:r>
      <w:r>
        <w:t>))</w:t>
      </w:r>
      <w:r>
        <w:rPr/>
        <w:t xml:space="preserve"> </w:t>
      </w:r>
      <w:r>
        <w:rPr>
          <w:u w:val="single"/>
        </w:rPr>
        <w:t xml:space="preserve">15</w:t>
      </w:r>
      <w:r>
        <w:rPr/>
        <w:t xml:space="preserve"> of the most recent </w:t>
      </w:r>
      <w:r>
        <w:t>((</w:t>
      </w:r>
      <w:r>
        <w:rPr>
          <w:strike/>
        </w:rPr>
        <w:t xml:space="preserve">twenty-two</w:t>
      </w:r>
      <w:r>
        <w:t>))</w:t>
      </w:r>
      <w:r>
        <w:rPr/>
        <w:t xml:space="preserve"> </w:t>
      </w:r>
      <w:r>
        <w:rPr>
          <w:u w:val="single"/>
        </w:rPr>
        <w:t xml:space="preserve">22</w:t>
      </w:r>
      <w:r>
        <w:rPr/>
        <w:t xml:space="preserve">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13.34.130(7).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 "guardianship" means a guardianship pursuant to chapter 13.36 RCW or a guardianship of a minor pursuant to RCW 11.130.215,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2019 c 172 s 13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w:t>
      </w:r>
      <w:r>
        <w:t>((</w:t>
      </w:r>
      <w:r>
        <w:rPr>
          <w:strike/>
        </w:rPr>
        <w:t xml:space="preserve">ninety</w:t>
      </w:r>
      <w:r>
        <w:t>))</w:t>
      </w:r>
      <w:r>
        <w:rPr/>
        <w:t xml:space="preserve"> </w:t>
      </w:r>
      <w:r>
        <w:rPr>
          <w:u w:val="single"/>
        </w:rPr>
        <w:t xml:space="preserve">90</w:t>
      </w:r>
      <w:r>
        <w:rPr/>
        <w:t xml:space="preserve">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w:t>
      </w:r>
      <w:r>
        <w:t>((</w:t>
      </w:r>
      <w:r>
        <w:rPr>
          <w:strike/>
        </w:rPr>
        <w:t xml:space="preserve">sixty</w:t>
      </w:r>
      <w:r>
        <w:t>))</w:t>
      </w:r>
      <w:r>
        <w:rPr/>
        <w:t xml:space="preserve"> </w:t>
      </w:r>
      <w:r>
        <w:rPr>
          <w:u w:val="single"/>
        </w:rPr>
        <w:t xml:space="preserve">60</w:t>
      </w:r>
      <w:r>
        <w:rPr/>
        <w:t xml:space="preserve">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w:t>
      </w:r>
      <w:r>
        <w:rPr>
          <w:u w:val="single"/>
        </w:rPr>
        <w:t xml:space="preserve">. If the court previously ordered that visitation between a parent and child must be supervised, there shall be a presumption that such supervision or monitoring will no longer be necessary after the review hearing. To overcome this presumption, the department must provide a report to the court including evidence establishing that removing visit supervision or monitoring would create a risk to the child's safety, and the court shall make a determination as to whether visit supervision or monitoring must continue</w:t>
      </w:r>
      <w:r>
        <w:rPr/>
        <w:t xml:space="preserve">;</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u w:val="single"/>
        </w:rPr>
        <w:t xml:space="preserve">(6)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810425f8d41645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771087f17b4796" /><Relationship Type="http://schemas.openxmlformats.org/officeDocument/2006/relationships/footer" Target="/word/footer1.xml" Id="R810425f8d4164544" /></Relationships>
</file>