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8a37ee661c4f93" /></Relationships>
</file>

<file path=word/document.xml><?xml version="1.0" encoding="utf-8"?>
<w:document xmlns:w="http://schemas.openxmlformats.org/wordprocessingml/2006/main">
  <w:body>
    <w:p>
      <w:r>
        <w:t>H-2420.1</w:t>
      </w:r>
    </w:p>
    <w:p>
      <w:pPr>
        <w:jc w:val="center"/>
      </w:pPr>
      <w:r>
        <w:t>_______________________________________________</w:t>
      </w:r>
    </w:p>
    <w:p/>
    <w:p>
      <w:pPr>
        <w:jc w:val="center"/>
      </w:pPr>
      <w:r>
        <w:rPr>
          <w:b/>
        </w:rPr>
        <w:t>SUBSTITUTE HOUSE BILL 1224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Chambers, Chapman, Jacobsen, Walen, McCaslin, Ybarra, Sutherland, Griffey, Chase, and Dent)</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spring blade knives; amending RCW 9.41.250, 9.41.280, 9.41.282, 10.31.100, and 43.216.760; reenacting and amending RCW 9.41.300; repealing RCW 9.41.251;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250</w:t>
      </w:r>
      <w:r>
        <w:rPr/>
        <w:t xml:space="preserve"> and 2012 c 179 s 1 are each amended to read as follows:</w:t>
      </w:r>
    </w:p>
    <w:p>
      <w:pPr>
        <w:spacing w:before="0" w:after="0" w:line="408" w:lineRule="exact"/>
        <w:ind w:left="0" w:right="0" w:firstLine="576"/>
        <w:jc w:val="left"/>
      </w:pPr>
      <w:r>
        <w:rPr/>
        <w:t xml:space="preserve">(1) Every person who:</w:t>
      </w:r>
    </w:p>
    <w:p>
      <w:pPr>
        <w:spacing w:before="0" w:after="0" w:line="408" w:lineRule="exact"/>
        <w:ind w:left="0" w:right="0" w:firstLine="576"/>
        <w:jc w:val="left"/>
      </w:pPr>
      <w:r>
        <w:rPr/>
        <w:t xml:space="preserve">(a) Manufactures, sells, or disposes of or possesses any instrument or weapon of the kind usually known as slung shot, sand club, or metal knuckles</w:t>
      </w:r>
      <w:r>
        <w:t>((</w:t>
      </w:r>
      <w:r>
        <w:rPr>
          <w:strike/>
        </w:rPr>
        <w:t xml:space="preserve">, or spring blade knife</w:t>
      </w:r>
      <w:r>
        <w:t>))</w:t>
      </w:r>
      <w:r>
        <w:rPr/>
        <w:t xml:space="preserve">;</w:t>
      </w:r>
    </w:p>
    <w:p>
      <w:pPr>
        <w:spacing w:before="0" w:after="0" w:line="408" w:lineRule="exact"/>
        <w:ind w:left="0" w:right="0" w:firstLine="576"/>
        <w:jc w:val="left"/>
      </w:pPr>
      <w:r>
        <w:rPr/>
        <w:t xml:space="preserve">(b) Furtively carries with intent to conceal any dagger, dirk, pistol, or other dangerous weapon; or</w:t>
      </w:r>
    </w:p>
    <w:p>
      <w:pPr>
        <w:spacing w:before="0" w:after="0" w:line="408" w:lineRule="exact"/>
        <w:ind w:left="0" w:right="0" w:firstLine="576"/>
        <w:jc w:val="left"/>
      </w:pPr>
      <w:r>
        <w:rPr/>
        <w:t xml:space="preserve">(c) Uses any contrivance or device for suppressing the noise of any firearm unless the suppressor is legally registered and possessed in accordance with federal law,</w:t>
      </w:r>
    </w:p>
    <w:p>
      <w:pPr>
        <w:spacing w:before="0" w:after="0" w:line="408" w:lineRule="exact"/>
        <w:ind w:left="0" w:right="0" w:firstLine="0"/>
        <w:jc w:val="left"/>
      </w:pPr>
      <w:r>
        <w:rPr/>
        <w:t xml:space="preserve">is guilty of a gross misdemeanor punishable under chapter 9A.20 RCW.</w:t>
      </w:r>
    </w:p>
    <w:p>
      <w:pPr>
        <w:spacing w:before="0" w:after="0" w:line="408" w:lineRule="exact"/>
        <w:ind w:left="0" w:right="0" w:firstLine="576"/>
        <w:jc w:val="left"/>
      </w:pPr>
      <w:r>
        <w:rPr/>
        <w:t xml:space="preserve">(2) "Spring blade knife" means any knife, including a prototype, model, or other sample, with a blade that is automatically released by a spring mechanism or other mechanical device, or any knife having a blade which opens, or falls, or is ejected into position by the force of gravity, or by an outward, downward, or centrifugal thrust or movement. A knife that contains a spring, detent, or other mechanism designed to create a bias toward closure of the blade and that requires physical exertion applied to the blade by hand, wrist, or arm to overcome the bias toward closure to assist in opening the knife is not a spring blade knife. </w:t>
      </w:r>
      <w:r>
        <w:rPr>
          <w:u w:val="single"/>
        </w:rPr>
        <w:t xml:space="preserve">A spring blade knife is not a dangerous weapon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2019 c 325 s 5001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w:t>
      </w:r>
      <w:r>
        <w:t>((</w:t>
      </w:r>
      <w:r>
        <w:rPr>
          <w:strike/>
        </w:rPr>
        <w:t xml:space="preserve">or</w:t>
      </w:r>
      <w:r>
        <w:t>))</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r>
        <w:rPr>
          <w:u w:val="single"/>
        </w:rPr>
        <w:t xml:space="preserve">; or</w:t>
      </w:r>
    </w:p>
    <w:p>
      <w:pPr>
        <w:spacing w:before="0" w:after="0" w:line="408" w:lineRule="exact"/>
        <w:ind w:left="0" w:right="0" w:firstLine="576"/>
        <w:jc w:val="left"/>
      </w:pPr>
      <w:r>
        <w:rPr>
          <w:u w:val="single"/>
        </w:rPr>
        <w:t xml:space="preserve">(g) Any spring blade knife as defined in RCW 9.41.250</w:t>
      </w:r>
      <w:r>
        <w:rPr/>
        <w:t xml:space="preserv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w:t>
      </w:r>
      <w:r>
        <w:t>((</w:t>
      </w:r>
      <w:r>
        <w:rPr>
          <w:strike/>
        </w:rPr>
        <w:t xml:space="preserve">twelve</w:t>
      </w:r>
      <w:r>
        <w:t>))</w:t>
      </w:r>
      <w:r>
        <w:rPr/>
        <w:t xml:space="preserve"> </w:t>
      </w:r>
      <w:r>
        <w:rPr>
          <w:u w:val="single"/>
        </w:rPr>
        <w:t xml:space="preserve">12</w:t>
      </w:r>
      <w:r>
        <w:rPr/>
        <w:t xml:space="preserve"> years of age and not more than </w:t>
      </w:r>
      <w:r>
        <w:t>((</w:t>
      </w:r>
      <w:r>
        <w:rPr>
          <w:strike/>
        </w:rPr>
        <w:t xml:space="preserve">twenty-one</w:t>
      </w:r>
      <w:r>
        <w:t>))</w:t>
      </w:r>
      <w:r>
        <w:rPr/>
        <w:t xml:space="preserve"> </w:t>
      </w:r>
      <w:r>
        <w:rPr>
          <w:u w:val="single"/>
        </w:rPr>
        <w:t xml:space="preserve">21</w:t>
      </w:r>
      <w:r>
        <w:rPr/>
        <w:t xml:space="preserve"> years of age for violating subsection (1)(a) of this section, the person shall be detained or confined in a juvenile or adult facility for up to </w:t>
      </w:r>
      <w:r>
        <w:t>((</w:t>
      </w:r>
      <w:r>
        <w:rPr>
          <w:strike/>
        </w:rPr>
        <w:t xml:space="preserve">seventy-two</w:t>
      </w:r>
      <w:r>
        <w:t>))</w:t>
      </w:r>
      <w:r>
        <w:rPr/>
        <w:t xml:space="preserve"> </w:t>
      </w:r>
      <w:r>
        <w:rPr>
          <w:u w:val="single"/>
        </w:rPr>
        <w:t xml:space="preserve">72</w:t>
      </w:r>
      <w:r>
        <w:rPr/>
        <w:t xml:space="preserve"> hours. The person shall not be released within the </w:t>
      </w:r>
      <w:r>
        <w:t>((</w:t>
      </w:r>
      <w:r>
        <w:rPr>
          <w:strike/>
        </w:rPr>
        <w:t xml:space="preserve">seventy-two</w:t>
      </w:r>
      <w:r>
        <w:t>))</w:t>
      </w:r>
      <w:r>
        <w:rPr/>
        <w:t xml:space="preserve"> </w:t>
      </w:r>
      <w:r>
        <w:rPr>
          <w:u w:val="single"/>
        </w:rPr>
        <w:t xml:space="preserve">72</w:t>
      </w:r>
      <w:r>
        <w:rPr/>
        <w:t xml:space="preserve">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w:t>
      </w:r>
      <w:r>
        <w:t>((</w:t>
      </w:r>
      <w:r>
        <w:rPr>
          <w:strike/>
        </w:rPr>
        <w:t xml:space="preserve">twenty-four</w:t>
      </w:r>
      <w:r>
        <w:t>))</w:t>
      </w:r>
      <w:r>
        <w:rPr/>
        <w:t xml:space="preserve"> </w:t>
      </w:r>
      <w:r>
        <w:rPr>
          <w:u w:val="single"/>
        </w:rPr>
        <w:t xml:space="preserve">24</w:t>
      </w:r>
      <w:r>
        <w:rPr/>
        <w:t xml:space="preserve">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w:t>
      </w:r>
      <w:r>
        <w:rPr>
          <w:u w:val="single"/>
        </w:rPr>
        <w:t xml:space="preserve">or the health care authority</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w:t>
      </w:r>
      <w:r>
        <w:t>((</w:t>
      </w:r>
      <w:r>
        <w:rPr>
          <w:strike/>
        </w:rPr>
        <w:t xml:space="preserve">eighteen</w:t>
      </w:r>
      <w:r>
        <w:t>))</w:t>
      </w:r>
      <w:r>
        <w:rPr/>
        <w:t xml:space="preserve"> </w:t>
      </w:r>
      <w:r>
        <w:rPr>
          <w:u w:val="single"/>
        </w:rPr>
        <w:t xml:space="preserve">18</w:t>
      </w:r>
      <w:r>
        <w:rPr/>
        <w:t xml:space="preserve">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w:t>
      </w:r>
      <w:r>
        <w:t>((</w:t>
      </w:r>
      <w:r>
        <w:rPr>
          <w:strike/>
        </w:rPr>
        <w:t xml:space="preserve">eighteen</w:t>
      </w:r>
      <w:r>
        <w:t>))</w:t>
      </w:r>
      <w:r>
        <w:rPr/>
        <w:t xml:space="preserve"> </w:t>
      </w:r>
      <w:r>
        <w:rPr>
          <w:u w:val="single"/>
        </w:rPr>
        <w:t xml:space="preserve">18</w:t>
      </w:r>
      <w:r>
        <w:rPr/>
        <w:t xml:space="preserve">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282</w:t>
      </w:r>
      <w:r>
        <w:rPr/>
        <w:t xml:space="preserve"> and 2020 c 189 s 1 are each amended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w:t>
      </w:r>
      <w:r>
        <w:t>((</w:t>
      </w:r>
      <w:r>
        <w:rPr>
          <w:strike/>
        </w:rPr>
        <w:t xml:space="preserve">or</w:t>
      </w:r>
      <w:r>
        <w:t>))</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r>
        <w:rPr>
          <w:u w:val="single"/>
        </w:rPr>
        <w:t xml:space="preserve">; or</w:t>
      </w:r>
    </w:p>
    <w:p>
      <w:pPr>
        <w:spacing w:before="0" w:after="0" w:line="408" w:lineRule="exact"/>
        <w:ind w:left="0" w:right="0" w:firstLine="576"/>
        <w:jc w:val="left"/>
      </w:pPr>
      <w:r>
        <w:rPr>
          <w:u w:val="single"/>
        </w:rPr>
        <w:t xml:space="preserve">(e) Any spring blade knife as defined in RCW 9.41.250</w:t>
      </w:r>
      <w:r>
        <w:rPr/>
        <w:t xml:space="preserv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in possession of a pistol who has been issued a license under RCW 9.41.070, or is exempt from the licensing requirement by RCW 9.41.060, while picking up or dropping off a child at the child care center;</w:t>
      </w:r>
    </w:p>
    <w:p>
      <w:pPr>
        <w:spacing w:before="0" w:after="0" w:line="408" w:lineRule="exact"/>
        <w:ind w:left="0" w:right="0" w:firstLine="576"/>
        <w:jc w:val="left"/>
      </w:pPr>
      <w:r>
        <w:rPr/>
        <w:t xml:space="preserve">(c) Any person at least </w:t>
      </w:r>
      <w:r>
        <w:t>((</w:t>
      </w:r>
      <w:r>
        <w:rPr>
          <w:strike/>
        </w:rPr>
        <w:t xml:space="preserve">eighteen</w:t>
      </w:r>
      <w:r>
        <w:t>))</w:t>
      </w:r>
      <w:r>
        <w:rPr/>
        <w:t xml:space="preserve"> </w:t>
      </w:r>
      <w:r>
        <w:rPr>
          <w:u w:val="single"/>
        </w:rPr>
        <w:t xml:space="preserve">18</w:t>
      </w:r>
      <w:r>
        <w:rPr/>
        <w:t xml:space="preserve">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(d)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and 2021 c 215 s 96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t xml:space="preserve">(d)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t xml:space="preserve">(iii) "Weapon" has the same meaning given in subsection (1)(b) of this section.</w:t>
      </w:r>
    </w:p>
    <w:p>
      <w:pPr>
        <w:spacing w:before="0" w:after="0" w:line="408" w:lineRule="exact"/>
        <w:ind w:left="0" w:right="0" w:firstLine="576"/>
        <w:jc w:val="left"/>
      </w:pPr>
      <w:r>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t xml:space="preserve">(3)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t xml:space="preserve">(6)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(7)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(8)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w:t>
      </w:r>
    </w:p>
    <w:p>
      <w:pPr>
        <w:spacing w:before="0" w:after="0" w:line="408" w:lineRule="exact"/>
        <w:ind w:left="0" w:right="0" w:firstLine="576"/>
        <w:jc w:val="left"/>
      </w:pPr>
      <w:r>
        <w:rPr/>
        <w:t xml:space="preserve">(9)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(10)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(11)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(12)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(13) Any person violating subsection (1) or (2) of this section is guilty of a gross misdemeanor.</w:t>
      </w:r>
    </w:p>
    <w:p>
      <w:pPr>
        <w:spacing w:before="0" w:after="0" w:line="408" w:lineRule="exact"/>
        <w:ind w:left="0" w:right="0" w:firstLine="576"/>
        <w:jc w:val="left"/>
      </w:pPr>
      <w:r>
        <w:rPr/>
        <w:t xml:space="preserve">(14) "Weapon" as used in this section means any firearm, explosive as defined in RCW 70.74.010, </w:t>
      </w:r>
      <w:r>
        <w:rPr>
          <w:u w:val="single"/>
        </w:rPr>
        <w:t xml:space="preserve">spring blade knife as defined in RCW 9.41.250,</w:t>
      </w:r>
      <w:r>
        <w:rPr/>
        <w:t xml:space="preserve">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251</w:t>
      </w:r>
      <w:r>
        <w:rPr/>
        <w:t xml:space="preserve"> (Dangerous weapons</w:t>
      </w:r>
      <w:r>
        <w:rPr>
          <w:rFonts w:ascii="Times New Roman" w:hAnsi="Times New Roman"/>
        </w:rPr>
        <w:t xml:space="preserve">—</w:t>
      </w:r>
      <w:r>
        <w:rPr/>
        <w:t xml:space="preserve">Application of restrictions to law enforcement, firefighting, rescue, and military personnel) and 2012 c 179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w:t>
      </w:r>
      <w:r>
        <w:t>((</w:t>
      </w:r>
      <w:r>
        <w:rPr>
          <w:strike/>
        </w:rPr>
        <w:t xml:space="preserve">twenty-one</w:t>
      </w:r>
      <w:r>
        <w:t>))</w:t>
      </w:r>
      <w:r>
        <w:rPr/>
        <w:t xml:space="preserve"> </w:t>
      </w:r>
      <w:r>
        <w:rPr>
          <w:u w:val="single"/>
        </w:rPr>
        <w:t xml:space="preserve">21</w:t>
      </w:r>
      <w:r>
        <w:rPr/>
        <w:t xml:space="preserv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26.10,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w:t>
      </w:r>
      <w:r>
        <w:t>((</w:t>
      </w:r>
      <w:r>
        <w:rPr>
          <w:strike/>
        </w:rPr>
        <w:t xml:space="preserve">eighteen</w:t>
      </w:r>
      <w:r>
        <w:t>))</w:t>
      </w:r>
      <w:r>
        <w:rPr/>
        <w:t xml:space="preserve"> </w:t>
      </w:r>
      <w:r>
        <w:rPr>
          <w:u w:val="single"/>
        </w:rPr>
        <w:t xml:space="preserve">18</w:t>
      </w:r>
      <w:r>
        <w:rPr/>
        <w:t xml:space="preserve">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w:t>
      </w:r>
      <w:r>
        <w:t>((</w:t>
      </w:r>
      <w:r>
        <w:rPr>
          <w:strike/>
        </w:rPr>
        <w:t xml:space="preserve">twenty-four</w:t>
      </w:r>
      <w:r>
        <w:t>))</w:t>
      </w:r>
      <w:r>
        <w:rPr/>
        <w:t xml:space="preserve"> </w:t>
      </w:r>
      <w:r>
        <w:rPr>
          <w:u w:val="single"/>
        </w:rPr>
        <w:t xml:space="preserve">24</w:t>
      </w:r>
      <w:r>
        <w:rPr/>
        <w:t xml:space="preserve">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w:t>
      </w:r>
      <w:r>
        <w:t>((</w:t>
      </w:r>
      <w:r>
        <w:rPr>
          <w:strike/>
        </w:rPr>
        <w:t xml:space="preserve">(e)</w:t>
      </w:r>
      <w:r>
        <w:t>))</w:t>
      </w:r>
      <w:r>
        <w:rPr/>
        <w:t xml:space="preserve"> </w:t>
      </w:r>
      <w:r>
        <w:rPr>
          <w:u w:val="single"/>
        </w:rPr>
        <w:t xml:space="preserve">(g)</w:t>
      </w:r>
      <w:r>
        <w:rPr/>
        <w:t xml:space="preserv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w:t>
      </w:r>
      <w:r>
        <w:t>((</w:t>
      </w:r>
      <w:r>
        <w:rPr>
          <w:strike/>
        </w:rPr>
        <w:t xml:space="preserve">ten</w:t>
      </w:r>
      <w:r>
        <w:t>))</w:t>
      </w:r>
      <w:r>
        <w:rPr/>
        <w:t xml:space="preserve"> </w:t>
      </w:r>
      <w:r>
        <w:rPr>
          <w:u w:val="single"/>
        </w:rPr>
        <w:t xml:space="preserve">10</w:t>
      </w:r>
      <w:r>
        <w:rPr/>
        <w:t xml:space="preserve">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760</w:t>
      </w:r>
      <w:r>
        <w:rPr/>
        <w:t xml:space="preserve"> and 2020 c 189 s 2 are each amended to read as follows:</w:t>
      </w:r>
    </w:p>
    <w:p>
      <w:pPr>
        <w:spacing w:before="0" w:after="0" w:line="408" w:lineRule="exact"/>
        <w:ind w:left="0" w:right="0" w:firstLine="576"/>
        <w:jc w:val="left"/>
      </w:pPr>
      <w:r>
        <w:rPr/>
        <w:t xml:space="preserve">(1) Every child day care center and early childhood education and assistance program provider is subject to RCW 9.41.282.</w:t>
      </w:r>
    </w:p>
    <w:p>
      <w:pPr>
        <w:spacing w:before="0" w:after="0" w:line="408" w:lineRule="exact"/>
        <w:ind w:left="0" w:right="0" w:firstLine="576"/>
        <w:jc w:val="left"/>
      </w:pPr>
      <w:r>
        <w:rPr/>
        <w:t xml:space="preserve">(2)(a) A family day care provider must store any firearm, ammunition, or other dangerous weapon as described in RCW 9.41.250</w:t>
      </w:r>
      <w:r>
        <w:rPr>
          <w:u w:val="single"/>
        </w:rPr>
        <w:t xml:space="preserve">, including without limitation any spring blade knife as defined in RCW 9.41.250,</w:t>
      </w:r>
      <w:r>
        <w:rPr/>
        <w:t xml:space="preserve"> in a secure area when children for whom the family day care provider is licensed to provide care are present on the premises.</w:t>
      </w:r>
    </w:p>
    <w:p>
      <w:pPr>
        <w:spacing w:before="0" w:after="0" w:line="408" w:lineRule="exact"/>
        <w:ind w:left="0" w:right="0" w:firstLine="576"/>
        <w:jc w:val="left"/>
      </w:pPr>
      <w:r>
        <w:rPr/>
        <w:t xml:space="preserve">(b) The secure area must be inaccessible to children and must consist of a locked gun safe or a locked room. If stored in a locked room, each firearm must be stored unloaded and with a trigger lock or other disabling feature.</w:t>
      </w:r>
    </w:p>
    <w:p>
      <w:pPr>
        <w:spacing w:before="0" w:after="0" w:line="408" w:lineRule="exact"/>
        <w:ind w:left="0" w:right="0" w:firstLine="576"/>
        <w:jc w:val="left"/>
      </w:pPr>
      <w:r>
        <w:rPr/>
        <w:t xml:space="preserve">(3) The department may deny, suspend, revoke, modify or not renew the license of a child care provider in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e6e6ab1cc0cc41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a97a2799bb4f4d" /><Relationship Type="http://schemas.openxmlformats.org/officeDocument/2006/relationships/footer" Target="/word/footer1.xml" Id="Re6e6ab1cc0cc418e" /></Relationships>
</file>