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8f4fcb665c4015" /></Relationships>
</file>

<file path=word/document.xml><?xml version="1.0" encoding="utf-8"?>
<w:document xmlns:w="http://schemas.openxmlformats.org/wordprocessingml/2006/main">
  <w:body>
    <w:p>
      <w:r>
        <w:t>H-0261.1</w:t>
      </w:r>
    </w:p>
    <w:p>
      <w:pPr>
        <w:jc w:val="center"/>
      </w:pPr>
      <w:r>
        <w:t>_______________________________________________</w:t>
      </w:r>
    </w:p>
    <w:p/>
    <w:p>
      <w:pPr>
        <w:jc w:val="center"/>
      </w:pPr>
      <w:r>
        <w:rPr>
          <w:b/>
        </w:rPr>
        <w:t>HOUSE BILL 1241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Duerr, Berg, Ortiz-Self, Bateman, Wicks, Macri, Harris-Talley, and Pollet</w:t>
      </w:r>
    </w:p>
    <w:p/>
    <w:p>
      <w:r>
        <w:rPr>
          <w:t xml:space="preserve">Read first time 01/18/21.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under the growth management act; amending RCW 90.58.080 and 90.58.080; reenacting and amending RCW 36.70A.130;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w:t>
      </w:r>
      <w:r>
        <w:rPr>
          <w:u w:val="single"/>
        </w:rPr>
        <w:t xml:space="preserve">(a)</w:t>
      </w:r>
      <w:r>
        <w:rPr/>
        <w:t xml:space="preserve">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or before June 30, 2024,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 or before June 30, 2025,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On or before June 30, 2026,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On or before June 30, 2027,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u w:val="single"/>
        </w:rPr>
        <w:t xml:space="preserve">(b) By no later than December 31st of the year following adoption of a comprehensive plan after January 1, 2024, and annually thereafter, each county and city planning under RCW 36.70A.040 with a population of 7,500 or more shall create an annual work program for implementing its comprehensive plan. The work program shall describe the development regulations and nonregulatory measures, including actions for acquiring and spending money in support of the work program, which are to be considered in the upcoming year, as well as those measures and actions which were considered and acted upon in the current year-to-date.</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(5)(a)</w:t>
      </w:r>
      <w:r>
        <w:t>((</w:t>
      </w:r>
      <w:r>
        <w:rPr>
          <w:strike/>
        </w:rPr>
        <w:t xml:space="preserve">(ii)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(5)(a)</w:t>
      </w:r>
      <w:r>
        <w:t>((</w:t>
      </w:r>
      <w:r>
        <w:rPr>
          <w:strike/>
        </w:rPr>
        <w:t xml:space="preserve">(ii)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(9)(a) Counties subject to planning deadlines established in subsection (5)(a) and (b) of this section, and cities within those counties, must provide to the department an implementation progress report detailing the progress they have achieved in implementing their comprehensive plan five years after the review and revision of their comprehensive plan.</w:t>
      </w:r>
    </w:p>
    <w:p>
      <w:pPr>
        <w:spacing w:before="0" w:after="0" w:line="408" w:lineRule="exact"/>
        <w:ind w:left="0" w:right="0" w:firstLine="576"/>
        <w:jc w:val="left"/>
      </w:pPr>
      <w:r>
        <w:rPr>
          <w:u w:val="single"/>
        </w:rPr>
        <w:t xml:space="preserve">(b) The department shall adopt rules for indicators, measures, milestones, and criteria for use by counties and cities in the implementation progress report. At a minimum, these indicators, measures, milestones, and criteria must cover:</w:t>
      </w:r>
    </w:p>
    <w:p>
      <w:pPr>
        <w:spacing w:before="0" w:after="0" w:line="408" w:lineRule="exact"/>
        <w:ind w:left="0" w:right="0" w:firstLine="576"/>
        <w:jc w:val="left"/>
      </w:pPr>
      <w:r>
        <w:rPr>
          <w:u w:val="single"/>
        </w:rPr>
        <w:t xml:space="preserve">(i) Housing affordability and availability within the jurisdiction;</w:t>
      </w:r>
    </w:p>
    <w:p>
      <w:pPr>
        <w:spacing w:before="0" w:after="0" w:line="408" w:lineRule="exact"/>
        <w:ind w:left="0" w:right="0" w:firstLine="576"/>
        <w:jc w:val="left"/>
      </w:pPr>
      <w:r>
        <w:rPr>
          <w:u w:val="single"/>
        </w:rPr>
        <w:t xml:space="preserve">(ii) Permit processing timelines;</w:t>
      </w:r>
    </w:p>
    <w:p>
      <w:pPr>
        <w:spacing w:before="0" w:after="0" w:line="408" w:lineRule="exact"/>
        <w:ind w:left="0" w:right="0" w:firstLine="576"/>
        <w:jc w:val="left"/>
      </w:pPr>
      <w:r>
        <w:rPr>
          <w:u w:val="single"/>
        </w:rPr>
        <w:t xml:space="preserve">(iii) The protection of critical areas and the use of best available science;</w:t>
      </w:r>
    </w:p>
    <w:p>
      <w:pPr>
        <w:spacing w:before="0" w:after="0" w:line="408" w:lineRule="exact"/>
        <w:ind w:left="0" w:right="0" w:firstLine="576"/>
        <w:jc w:val="left"/>
      </w:pPr>
      <w:r>
        <w:rPr>
          <w:u w:val="single"/>
        </w:rPr>
        <w:t xml:space="preserve">(iv) The jurisdiction's response to new statutory changes adopted since the previous comprehensive plan update; and</w:t>
      </w:r>
    </w:p>
    <w:p>
      <w:pPr>
        <w:spacing w:before="0" w:after="0" w:line="408" w:lineRule="exact"/>
        <w:ind w:left="0" w:right="0" w:firstLine="576"/>
        <w:jc w:val="left"/>
      </w:pPr>
      <w:r>
        <w:rPr>
          <w:u w:val="single"/>
        </w:rPr>
        <w:t xml:space="preserve">(v) Achieving any required reductions to meet greenhouse gas reduction and vehicle miles traveled requirements.</w:t>
      </w:r>
    </w:p>
    <w:p>
      <w:pPr>
        <w:spacing w:before="0" w:after="0" w:line="408" w:lineRule="exact"/>
        <w:ind w:left="0" w:right="0" w:firstLine="576"/>
        <w:jc w:val="left"/>
      </w:pPr>
      <w:r>
        <w:rPr>
          <w:u w:val="single"/>
        </w:rPr>
        <w:t xml:space="preserve">(c) Counties and cities subject to the review and evaluation program requirements in RCW 36.70A.215 must include in the implementation progress report an identification of inconsistencies found during the review and evaluation between what has occurred since the adoption of the countywide planning policies and the county and city comprehensive plans and development regulations and what was envisioned in those policies and plans and the planning goals and the requirements of this chapter.</w:t>
      </w:r>
    </w:p>
    <w:p>
      <w:pPr>
        <w:spacing w:before="0" w:after="0" w:line="408" w:lineRule="exact"/>
        <w:ind w:left="0" w:right="0" w:firstLine="576"/>
        <w:jc w:val="left"/>
      </w:pPr>
      <w:r>
        <w:rPr>
          <w:u w:val="single"/>
        </w:rPr>
        <w:t xml:space="preserve">(d) If a city or county has not implemented statutory changes adopted since the most recent periodic update in their comprehensive plan or development regulations by the due date for the implementation progress report, the city or county must identify the need for such changes in the implementation progress report, and must include necessary changes in the implementation work program required under this section. Cities and counties must then adopt any necessary changes within two years of submission for the implementation progress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ten</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ten</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ten</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ten</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ten</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ten</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ten</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ten</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ten</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
      <w:pPr>
        <w:jc w:val="center"/>
      </w:pPr>
      <w:r>
        <w:rPr>
          <w:b/>
        </w:rPr>
        <w:t>--- END ---</w:t>
      </w:r>
    </w:p>
    <w:sectPr>
      <w:pgNumType w:start="1"/>
      <w:footerReference xmlns:r="http://schemas.openxmlformats.org/officeDocument/2006/relationships" r:id="R561017bd78c347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352cbf5b7d4438" /><Relationship Type="http://schemas.openxmlformats.org/officeDocument/2006/relationships/footer" Target="/word/footer1.xml" Id="R561017bd78c34706" /></Relationships>
</file>