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09ea835804a27" /></Relationships>
</file>

<file path=word/document.xml><?xml version="1.0" encoding="utf-8"?>
<w:document xmlns:w="http://schemas.openxmlformats.org/wordprocessingml/2006/main">
  <w:body>
    <w:p>
      <w:r>
        <w:t>H-0382.1</w:t>
      </w:r>
    </w:p>
    <w:p>
      <w:pPr>
        <w:jc w:val="center"/>
      </w:pPr>
      <w:r>
        <w:t>_______________________________________________</w:t>
      </w:r>
    </w:p>
    <w:p/>
    <w:p>
      <w:pPr>
        <w:jc w:val="center"/>
      </w:pPr>
      <w:r>
        <w:rPr>
          <w:b/>
        </w:rPr>
        <w:t>HOUSE BILL 1272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Macri, Cody, Fitzgibbon, Davis, Hackney, Thai, Kloba, Rule, Simmons, Pollet, Dolan, Slatter, Riccelli, and Harris-Talley</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(8)</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the federally recognized tribes, urban or other Indian health service organizations, and the federal area Indian health service, design, develop, and maintain an American Indian-specific health data, statistics information system. </w:t>
      </w:r>
    </w:p>
    <w:p>
      <w:pPr>
        <w:spacing w:before="0" w:after="0" w:line="408" w:lineRule="exact"/>
        <w:ind w:left="0" w:right="0" w:firstLine="576"/>
        <w:jc w:val="left"/>
      </w:pPr>
      <w:r>
        <w:rPr/>
        <w:t xml:space="preserve">(6) </w:t>
      </w:r>
      <w:r>
        <w:rPr>
          <w:u w:val="single"/>
        </w:rPr>
        <w:t xml:space="preserve">Patient discharge information reported by hospitals to the department must identify patients by race or ethnicity, gender identity, preferred language, any disability, zip code of primary residence, occupation, education, and annual income.</w:t>
      </w:r>
    </w:p>
    <w:p>
      <w:pPr>
        <w:spacing w:before="0" w:after="0" w:line="408" w:lineRule="exact"/>
        <w:ind w:left="0" w:right="0" w:firstLine="576"/>
        <w:jc w:val="left"/>
      </w:pPr>
      <w:r>
        <w:rPr>
          <w:u w:val="single"/>
        </w:rPr>
        <w:t xml:space="preserve">(7)</w:t>
      </w:r>
      <w:r>
        <w:rPr/>
        <w:t xml:space="preserve"> All persons subject to the data collection requirements of this section shall comply with departmental requirements established by rule in the acquisition of data.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must maintain the confidentiality of patient discharge data it collects under subsection (1)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(9)</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Recipients of data under subsection </w:t>
      </w:r>
      <w:r>
        <w:t>((</w:t>
      </w:r>
      <w:r>
        <w:rPr>
          <w:strike/>
        </w:rPr>
        <w:t xml:space="preserve">(7)</w:t>
      </w:r>
      <w:r>
        <w:t>))</w:t>
      </w:r>
      <w:r>
        <w:rPr/>
        <w:t xml:space="preserve"> </w:t>
      </w:r>
      <w:r>
        <w:rPr>
          <w:u w:val="single"/>
        </w:rPr>
        <w:t xml:space="preserve">(8)</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(8)</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Each hospital must report the following information to the department each month:</w:t>
      </w:r>
    </w:p>
    <w:p>
      <w:pPr>
        <w:spacing w:before="0" w:after="0" w:line="408" w:lineRule="exact"/>
        <w:ind w:left="0" w:right="0" w:firstLine="576"/>
        <w:jc w:val="left"/>
      </w:pPr>
      <w:r>
        <w:rPr/>
        <w:t xml:space="preserve">(a) The number of days of critical staffing, by job class. Critical staffing job classes include environmental services, nurses, other health care personnel, other licensed independent practitioners, pharmacy and pharmacy technicians, physicians, respiratory therapists, temporary physicians, temporary nurses, temporary respiratory therapists, temporary pharmacists, and other job classes identified by the department; and</w:t>
      </w:r>
    </w:p>
    <w:p>
      <w:pPr>
        <w:spacing w:before="0" w:after="0" w:line="408" w:lineRule="exact"/>
        <w:ind w:left="0" w:right="0" w:firstLine="576"/>
        <w:jc w:val="left"/>
      </w:pPr>
      <w:r>
        <w:rPr/>
        <w:t xml:space="preserve">(b) Mortality rates, including race and ethnicity mortality rates among labor and delivery patients.</w:t>
      </w:r>
    </w:p>
    <w:p>
      <w:pPr>
        <w:spacing w:before="0" w:after="0" w:line="408" w:lineRule="exact"/>
        <w:ind w:left="0" w:right="0" w:firstLine="576"/>
        <w:jc w:val="left"/>
      </w:pPr>
      <w:r>
        <w:rPr/>
        <w:t xml:space="preserve">(2) The department must adopt rules to implement the reporting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an assessment once every three years.</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 Each hospital subject to the requirements under subsection (1) of this section must submit an addendum which details information about activities identified as community health improvement services. The information must specify the type of activity, the method in which each type of activity was provided, the resources used to provide the activity, how the activity addresses the identified needs of the community, how each activity may correspond to follow-up services offered by the hospital, the cost of providing each type of activity with the methodology used to determine the hospital's costs written in plain English, and any materials provided to activity participants. In addition, the information must identify participants by race or ethnicity, gender identity, preferred language, any disability, zip code of primary residence, occupation, education, and annual income. Information related to the resources used to provide the activity includes, but is not limited to, labor provided and whether the location was rented or provided by the hospital.</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273c46e15f148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278be97ce04b9e" /><Relationship Type="http://schemas.openxmlformats.org/officeDocument/2006/relationships/footer" Target="/word/footer1.xml" Id="Rc273c46e15f14802" /></Relationships>
</file>