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7ceef915e40ee" /></Relationships>
</file>

<file path=word/document.xml><?xml version="1.0" encoding="utf-8"?>
<w:document xmlns:w="http://schemas.openxmlformats.org/wordprocessingml/2006/main">
  <w:body>
    <w:p>
      <w:r>
        <w:t>H-0359.1</w:t>
      </w:r>
    </w:p>
    <w:p>
      <w:pPr>
        <w:jc w:val="center"/>
      </w:pPr>
      <w:r>
        <w:t>_______________________________________________</w:t>
      </w:r>
    </w:p>
    <w:p/>
    <w:p>
      <w:pPr>
        <w:jc w:val="center"/>
      </w:pPr>
      <w:r>
        <w:rPr>
          <w:b/>
        </w:rPr>
        <w:t>HOUSE BILL 1303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Kloba, Entenman, Ramel, Bateman, Santos, Frame, Gregerson, Ormsby, Pollet, and Slatter</w:t>
      </w:r>
    </w:p>
    <w:p/>
    <w:p>
      <w:r>
        <w:rPr>
          <w:t xml:space="preserve">Read first time 01/19/21.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and taxation of the sale of Washingtonian's personal information and related data; amending RCW 82.04.050, 82.04.050, 82.04.192, 82.04.2907, 82.04.460, 82.04.462, 82.08.0291, and 82.32.087; adding new sections to chapter 82.04 RCW; creating a new section;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update and adapt state tax policy to the forms of commerce that have emerged with new technologies. The legislature recognizes that consumers are increasingly conducting their professional and personal affairs online and on devices such as smartphones or tablets. These activities include applying for jobs, researching symptoms and communicating with health care providers, applying for permits and licenses, mapping routes, communicating with friends and family, consuming news and entertainment, and shopping and arranging for the delivery of goods and services to the home. Through these daily activities, consumers generate enormous and unprecedented quantities of data about themselves, including their locations, behaviors, and preferences.</w:t>
      </w:r>
    </w:p>
    <w:p>
      <w:pPr>
        <w:spacing w:before="0" w:after="0" w:line="408" w:lineRule="exact"/>
        <w:ind w:left="0" w:right="0" w:firstLine="576"/>
        <w:jc w:val="left"/>
      </w:pPr>
      <w:r>
        <w:rPr/>
        <w:t xml:space="preserve">(2) The legislature further recognizes that technological advances have made it possible to more easily and quickly gather, analyze, and export vast amounts of personal information, whether such information is obtained through electronic or other means.</w:t>
      </w:r>
    </w:p>
    <w:p>
      <w:pPr>
        <w:spacing w:before="0" w:after="0" w:line="408" w:lineRule="exact"/>
        <w:ind w:left="0" w:right="0" w:firstLine="576"/>
        <w:jc w:val="left"/>
      </w:pPr>
      <w:r>
        <w:rPr/>
        <w:t xml:space="preserve">(3) The legislature finds that there are various businesses engaged in accumulating the personal data that is available to be collected on Washingtonians, aggregating or compiling that information, and reselling it without any compensation to the people of the state. This is a new business model that has flourished and is anticipated to grow as more people and more devices are connected with ever-increasing frequency for an ever greater number of innovative applications. As such, the legislature intends to have this unique and growing industry set apart with its own individual tax rate. This will provide transparency on the number of businesses and volume of activity in this industry, and fairly generate revenue to be used for the benefit of the state of Washington and its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this state in the business of making sales of personal data or exchanging personal data for consideration; as to such persons, the amount of tax with respect to such business is equal to the gross income of the business multiplied by the rate of 1.8 percent.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"Deidentified data" means data that cannot reasonably be used to infer information about, or otherwise be linked to, an identified or identifiable natural person, or a device linked to such person, provided that the controller that possesses the data:</w:t>
      </w:r>
    </w:p>
    <w:p>
      <w:pPr>
        <w:spacing w:before="0" w:after="0" w:line="408" w:lineRule="exact"/>
        <w:ind w:left="0" w:right="0" w:firstLine="576"/>
        <w:jc w:val="left"/>
      </w:pPr>
      <w:r>
        <w:rPr/>
        <w:t xml:space="preserve">(i) Takes reasonable measures to ensure that the data cannot be associated with a natural person;</w:t>
      </w:r>
    </w:p>
    <w:p>
      <w:pPr>
        <w:spacing w:before="0" w:after="0" w:line="408" w:lineRule="exact"/>
        <w:ind w:left="0" w:right="0" w:firstLine="576"/>
        <w:jc w:val="left"/>
      </w:pPr>
      <w:r>
        <w:rPr/>
        <w:t xml:space="preserve">(ii) Publicly commits to maintain and use the data only in a deidentified fashion and not attempt to reidentify the data; and</w:t>
      </w:r>
    </w:p>
    <w:p>
      <w:pPr>
        <w:spacing w:before="0" w:after="0" w:line="408" w:lineRule="exact"/>
        <w:ind w:left="0" w:right="0" w:firstLine="576"/>
        <w:jc w:val="left"/>
      </w:pPr>
      <w:r>
        <w:rPr/>
        <w:t xml:space="preserve">(iii) Contractually obligates any recipients of the information to comply with all provisions of this subsection.</w:t>
      </w:r>
    </w:p>
    <w:p>
      <w:pPr>
        <w:spacing w:before="0" w:after="0" w:line="408" w:lineRule="exact"/>
        <w:ind w:left="0" w:right="0" w:firstLine="576"/>
        <w:jc w:val="left"/>
      </w:pPr>
      <w:r>
        <w:rPr/>
        <w:t xml:space="preserve">(b) "Engaging within this state" has the same meaning as provided in RCW 82.04.066, and also means that a person generates gross income from the business from personal data, as defined in (c) of this subsection, of individuals located in this state. For purposes of this subsection, an individual is located in this state if any of the addresses, as defined in RCW 82.04.462(5), utilized by that individual is located in this state.</w:t>
      </w:r>
    </w:p>
    <w:p>
      <w:pPr>
        <w:spacing w:before="0" w:after="0" w:line="408" w:lineRule="exact"/>
        <w:ind w:left="0" w:right="0" w:firstLine="576"/>
        <w:jc w:val="left"/>
      </w:pPr>
      <w:r>
        <w:rPr/>
        <w:t xml:space="preserve">(c) "Personal data" means any information that is linked or reasonably linked to an identified or identifiable natural person. "Personal data" does not include:</w:t>
      </w:r>
    </w:p>
    <w:p>
      <w:pPr>
        <w:spacing w:before="0" w:after="0" w:line="408" w:lineRule="exact"/>
        <w:ind w:left="0" w:right="0" w:firstLine="576"/>
        <w:jc w:val="left"/>
      </w:pPr>
      <w:r>
        <w:rPr/>
        <w:t xml:space="preserve">(i) Deidentified data or publicly available information; or</w:t>
      </w:r>
    </w:p>
    <w:p>
      <w:pPr>
        <w:spacing w:before="0" w:after="0" w:line="408" w:lineRule="exact"/>
        <w:ind w:left="0" w:right="0" w:firstLine="576"/>
        <w:jc w:val="left"/>
      </w:pPr>
      <w:r>
        <w:rPr/>
        <w:t xml:space="preserve">(ii) Personal data that is sold by any state agency for the purposes of increasing public safety or positive health outcomes, provided that secondary sales of this personal data by the entities purchasing this personal data from the state agency is contractually prohibited.</w:t>
      </w:r>
    </w:p>
    <w:p>
      <w:pPr>
        <w:spacing w:before="0" w:after="0" w:line="408" w:lineRule="exact"/>
        <w:ind w:left="0" w:right="0" w:firstLine="576"/>
        <w:jc w:val="left"/>
      </w:pPr>
      <w:r>
        <w:rPr/>
        <w:t xml:space="preserve">(3) Nothing in this section may be construed as to impose a tax on internet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Except as provided in subsection (6) of this section, beginning September 1, 2022, every person engaging within this state in the business of making sales of personal data or exchanging personal data for consideration must register with the department.</w:t>
      </w:r>
    </w:p>
    <w:p>
      <w:pPr>
        <w:spacing w:before="0" w:after="0" w:line="408" w:lineRule="exact"/>
        <w:ind w:left="0" w:right="0" w:firstLine="576"/>
        <w:jc w:val="left"/>
      </w:pPr>
      <w:r>
        <w:rPr/>
        <w:t xml:space="preserve">(2) Registration under subsection (1) of this section must be completed annually, at a date set by the department, and must consist of the following:</w:t>
      </w:r>
    </w:p>
    <w:p>
      <w:pPr>
        <w:spacing w:before="0" w:after="0" w:line="408" w:lineRule="exact"/>
        <w:ind w:left="0" w:right="0" w:firstLine="576"/>
        <w:jc w:val="left"/>
      </w:pPr>
      <w:r>
        <w:rPr/>
        <w:t xml:space="preserve">(a) The name, principal place of business, and character of business, including:</w:t>
      </w:r>
    </w:p>
    <w:p>
      <w:pPr>
        <w:spacing w:before="0" w:after="0" w:line="408" w:lineRule="exact"/>
        <w:ind w:left="0" w:right="0" w:firstLine="576"/>
        <w:jc w:val="left"/>
      </w:pPr>
      <w:r>
        <w:rPr/>
        <w:t xml:space="preserve">(i) The specific types of personal information from Washingtonians sold or exchanged for consideration;</w:t>
      </w:r>
    </w:p>
    <w:p>
      <w:pPr>
        <w:spacing w:before="0" w:after="0" w:line="408" w:lineRule="exact"/>
        <w:ind w:left="0" w:right="0" w:firstLine="576"/>
        <w:jc w:val="left"/>
      </w:pPr>
      <w:r>
        <w:rPr/>
        <w:t xml:space="preserve">(ii) The types of entities that personal information is sold or exchanged for consideration;</w:t>
      </w:r>
    </w:p>
    <w:p>
      <w:pPr>
        <w:spacing w:before="0" w:after="0" w:line="408" w:lineRule="exact"/>
        <w:ind w:left="0" w:right="0" w:firstLine="576"/>
        <w:jc w:val="left"/>
      </w:pPr>
      <w:r>
        <w:rPr/>
        <w:t xml:space="preserve">(iii) The sources and methods by which the personal information was obtained; and</w:t>
      </w:r>
    </w:p>
    <w:p>
      <w:pPr>
        <w:spacing w:before="0" w:after="0" w:line="408" w:lineRule="exact"/>
        <w:ind w:left="0" w:right="0" w:firstLine="576"/>
        <w:jc w:val="left"/>
      </w:pPr>
      <w:r>
        <w:rPr/>
        <w:t xml:space="preserve">(iv) The gross income of the business attributable to the sale, or exchange for consideration, of personal information of Washingtonians, to be calculated using the following:</w:t>
      </w:r>
    </w:p>
    <w:p>
      <w:pPr>
        <w:spacing w:before="0" w:after="0" w:line="408" w:lineRule="exact"/>
        <w:ind w:left="0" w:right="0" w:firstLine="576"/>
        <w:jc w:val="left"/>
      </w:pPr>
      <w:r>
        <w:rPr/>
        <w:t xml:space="preserve">(A) The ratio, expressed as a percentage, that the number of Washington addresses in the personal information bears to all addresses in the personal information; or</w:t>
      </w:r>
    </w:p>
    <w:p>
      <w:pPr>
        <w:spacing w:before="0" w:after="0" w:line="408" w:lineRule="exact"/>
        <w:ind w:left="0" w:right="0" w:firstLine="576"/>
        <w:jc w:val="left"/>
      </w:pPr>
      <w:r>
        <w:rPr/>
        <w:t xml:space="preserve">(B) If the ratio in (a)(iv)(A) of this subsection (2) is not readily attainable, the ratio, expressed as a percentage, that the population of this state bears to all the states of the United States in the taxpayer's market, or by any other reasonable methods allowed by the department; and</w:t>
      </w:r>
    </w:p>
    <w:p>
      <w:pPr>
        <w:spacing w:before="0" w:after="0" w:line="408" w:lineRule="exact"/>
        <w:ind w:left="0" w:right="0" w:firstLine="576"/>
        <w:jc w:val="left"/>
      </w:pPr>
      <w:r>
        <w:rPr/>
        <w:t xml:space="preserve">(b) Submission of an informational return, as designed by the department.</w:t>
      </w:r>
    </w:p>
    <w:p>
      <w:pPr>
        <w:spacing w:before="0" w:after="0" w:line="408" w:lineRule="exact"/>
        <w:ind w:left="0" w:right="0" w:firstLine="576"/>
        <w:jc w:val="left"/>
      </w:pPr>
      <w:r>
        <w:rPr/>
        <w:t xml:space="preserve">(3) A person who is required to register under subsection (1) of this section and who fails to do so, or submits incomplete or inaccurate information, is subject to a fine of $100 per day of delinquency in addition to an amount equal to any expenses incurred by the office of the attorney general in the investigation or prosecution of the delinquency.</w:t>
      </w:r>
    </w:p>
    <w:p>
      <w:pPr>
        <w:spacing w:before="0" w:after="0" w:line="408" w:lineRule="exact"/>
        <w:ind w:left="0" w:right="0" w:firstLine="576"/>
        <w:jc w:val="left"/>
      </w:pPr>
      <w:r>
        <w:rPr/>
        <w:t xml:space="preserve">(4) By no later than December 15, 2022, and annually thereafter, the department must report to the appropriate committees of the legislature, in compliance with RCW 43.01.036, a summary of the information received under subsection (2) of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"Addresses" means physical, mailing, or internet protocol addresses, or similar addresses.</w:t>
      </w:r>
    </w:p>
    <w:p>
      <w:pPr>
        <w:spacing w:before="0" w:after="0" w:line="408" w:lineRule="exact"/>
        <w:ind w:left="0" w:right="0" w:firstLine="576"/>
        <w:jc w:val="left"/>
      </w:pPr>
      <w:r>
        <w:rPr/>
        <w:t xml:space="preserve">(b)(i) "Engaging within this state" has the same meaning as provided in RCW 82.04.066.</w:t>
      </w:r>
    </w:p>
    <w:p>
      <w:pPr>
        <w:spacing w:before="0" w:after="0" w:line="408" w:lineRule="exact"/>
        <w:ind w:left="0" w:right="0" w:firstLine="576"/>
        <w:jc w:val="left"/>
      </w:pPr>
      <w:r>
        <w:rPr/>
        <w:t xml:space="preserve">(ii) For purposes of this subsection, an individual is located in this state if any of the addresses of that individual is located in this state.</w:t>
      </w:r>
    </w:p>
    <w:p>
      <w:pPr>
        <w:spacing w:before="0" w:after="0" w:line="408" w:lineRule="exact"/>
        <w:ind w:left="0" w:right="0" w:firstLine="576"/>
        <w:jc w:val="left"/>
      </w:pPr>
      <w:r>
        <w:rPr/>
        <w:t xml:space="preserve">(c) "Person" has the same meaning as provided in RCW 82.04.030.</w:t>
      </w:r>
    </w:p>
    <w:p>
      <w:pPr>
        <w:spacing w:before="0" w:after="0" w:line="408" w:lineRule="exact"/>
        <w:ind w:left="0" w:right="0" w:firstLine="576"/>
        <w:jc w:val="left"/>
      </w:pPr>
      <w:r>
        <w:rPr/>
        <w:t xml:space="preserve">(d) "Personal data" has the same meaning as provided in section 2 of this act.</w:t>
      </w:r>
    </w:p>
    <w:p>
      <w:pPr>
        <w:spacing w:before="0" w:after="0" w:line="408" w:lineRule="exact"/>
        <w:ind w:left="0" w:right="0" w:firstLine="576"/>
        <w:jc w:val="left"/>
      </w:pPr>
      <w:r>
        <w:rPr/>
        <w:t xml:space="preserve">(6) The department may delay the application of this section if it is unable to implement any of the provisions of this section, but it may be delayed no later than November 1, 2022. If the department delays the application of this section, it must post notice of the new application date on its public website by August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w:t>
      </w:r>
      <w:r>
        <w:t>((</w:t>
      </w:r>
      <w:r>
        <w:rPr>
          <w:strike/>
        </w:rPr>
        <w:t xml:space="preserve">Credit bureau services;</w:t>
      </w:r>
    </w:p>
    <w:p>
      <w:pPr>
        <w:spacing w:before="0" w:after="0" w:line="408" w:lineRule="exact"/>
        <w:ind w:left="0" w:right="0" w:firstLine="576"/>
        <w:jc w:val="left"/>
      </w:pPr>
      <w:r>
        <w:rPr>
          <w:strike/>
        </w:rPr>
        <w:t xml:space="preserve">(c)</w:t>
      </w:r>
      <w:r>
        <w:t>))</w:t>
      </w:r>
      <w:r>
        <w:rPr/>
        <w:t xml:space="preserve"> Automobile parking and storage garage services;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u w:val="single"/>
        </w:rPr>
        <w:t xml:space="preserve">)</w:t>
      </w:r>
      <w:r>
        <w:rPr/>
        <w:t xml:space="preserv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Service charges associated with tickets to professional sporting events;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Operating an athletic or fitness facility, including all charges for the use of such a facility or for any associated services and amenities, except as provided in </w:t>
      </w:r>
      <w:r>
        <w:t>((</w:t>
      </w:r>
      <w:r>
        <w:rPr>
          <w:strike/>
        </w:rPr>
        <w:t xml:space="preserve">(g)</w:t>
      </w:r>
      <w:r>
        <w:t>))</w:t>
      </w:r>
      <w:r>
        <w:rPr/>
        <w:t xml:space="preserve"> </w:t>
      </w:r>
      <w:r>
        <w:rPr>
          <w:u w:val="single"/>
        </w:rPr>
        <w:t xml:space="preserve">(f)</w:t>
      </w:r>
      <w:r>
        <w:rPr/>
        <w:t xml:space="preserve">(ii) of this subsection.</w:t>
      </w:r>
    </w:p>
    <w:p>
      <w:pPr>
        <w:spacing w:before="0" w:after="0" w:line="408" w:lineRule="exact"/>
        <w:ind w:left="0" w:right="0" w:firstLine="576"/>
        <w:jc w:val="left"/>
      </w:pPr>
      <w:r>
        <w:rPr/>
        <w:t xml:space="preserve">(ii) Notwithstanding anything to the contrary in </w:t>
      </w:r>
      <w:r>
        <w:t>((</w:t>
      </w:r>
      <w:r>
        <w:rPr>
          <w:strike/>
        </w:rPr>
        <w:t xml:space="preserve">(g)</w:t>
      </w:r>
      <w:r>
        <w:t>))</w:t>
      </w:r>
      <w:r>
        <w:rPr/>
        <w:t xml:space="preserve"> </w:t>
      </w:r>
      <w:r>
        <w:rPr>
          <w:u w:val="single"/>
        </w:rPr>
        <w:t xml:space="preserve">(f)</w:t>
      </w:r>
      <w:r>
        <w:rPr/>
        <w:t xml:space="preserve">(i)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w:t>
      </w:r>
      <w:r>
        <w:t>((</w:t>
      </w:r>
      <w:r>
        <w:rPr>
          <w:strike/>
        </w:rPr>
        <w:t xml:space="preserve">(g)</w:t>
      </w:r>
      <w:r>
        <w:t>))</w:t>
      </w:r>
      <w:r>
        <w:rPr/>
        <w:t xml:space="preserve"> </w:t>
      </w:r>
      <w:r>
        <w:rPr>
          <w:u w:val="single"/>
        </w:rPr>
        <w:t xml:space="preserve">(f)</w:t>
      </w:r>
      <w:r>
        <w:rPr/>
        <w:t xml:space="preserve">(ii)(C)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w:t>
      </w:r>
      <w:r>
        <w:t>((</w:t>
      </w:r>
      <w:r>
        <w:rPr>
          <w:strike/>
        </w:rPr>
        <w:t xml:space="preserve">(g)</w:t>
      </w:r>
      <w:r>
        <w:t>))</w:t>
      </w:r>
      <w:r>
        <w:rPr/>
        <w:t xml:space="preserve"> </w:t>
      </w:r>
      <w:r>
        <w:rPr>
          <w:u w:val="single"/>
        </w:rPr>
        <w:t xml:space="preserve">(f)</w:t>
      </w:r>
      <w:r>
        <w:rPr/>
        <w:t xml:space="preserve">(ii)(D),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w:t>
      </w:r>
      <w:r>
        <w:t>((</w:t>
      </w:r>
      <w:r>
        <w:rPr>
          <w:strike/>
        </w:rPr>
        <w:t xml:space="preserve">(g)</w:t>
      </w:r>
      <w:r>
        <w:t>))</w:t>
      </w:r>
      <w:r>
        <w:rPr/>
        <w:t xml:space="preserve"> </w:t>
      </w:r>
      <w:r>
        <w:rPr>
          <w:u w:val="single"/>
        </w:rPr>
        <w:t xml:space="preserve">(f)</w:t>
      </w:r>
      <w:r>
        <w:rPr/>
        <w:t xml:space="preserve">. For purposes of this subsection (3)</w:t>
      </w:r>
      <w:r>
        <w:t>((</w:t>
      </w:r>
      <w:r>
        <w:rPr>
          <w:strike/>
        </w:rPr>
        <w:t xml:space="preserve">(g)</w:t>
      </w:r>
      <w:r>
        <w:t>))</w:t>
      </w:r>
      <w:r>
        <w:rPr/>
        <w:t xml:space="preserve"> </w:t>
      </w:r>
      <w:r>
        <w:rPr>
          <w:u w:val="single"/>
        </w:rPr>
        <w:t xml:space="preserve">(f)</w:t>
      </w:r>
      <w:r>
        <w:rPr/>
        <w:t xml:space="preserve">(ii)(G),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w:t>
      </w:r>
      <w:r>
        <w:t>((</w:t>
      </w:r>
      <w:r>
        <w:rPr>
          <w:strike/>
        </w:rPr>
        <w:t xml:space="preserve">(g)</w:t>
      </w:r>
      <w:r>
        <w:t>))</w:t>
      </w:r>
      <w:r>
        <w:rPr/>
        <w:t xml:space="preserve"> </w:t>
      </w:r>
      <w:r>
        <w:rPr>
          <w:u w:val="single"/>
        </w:rPr>
        <w:t xml:space="preserve">(f)</w:t>
      </w:r>
      <w:r>
        <w:rPr/>
        <w:t xml:space="preserve">(ii)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w:t>
      </w:r>
      <w:r>
        <w:t>((</w:t>
      </w:r>
      <w:r>
        <w:rPr>
          <w:strike/>
        </w:rPr>
        <w:t xml:space="preserve">(g)</w:t>
      </w:r>
      <w:r>
        <w:t>))</w:t>
      </w:r>
      <w:r>
        <w:rPr/>
        <w:t xml:space="preserve"> </w:t>
      </w:r>
      <w:r>
        <w:rPr>
          <w:u w:val="single"/>
        </w:rPr>
        <w:t xml:space="preserve">(f)</w:t>
      </w:r>
      <w:r>
        <w:rPr/>
        <w:t xml:space="preserve">,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2020 c 80 s 58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w:t>
      </w:r>
      <w:r>
        <w:t>((</w:t>
      </w:r>
      <w:r>
        <w:rPr>
          <w:strike/>
        </w:rPr>
        <w:t xml:space="preserve">Credit bureau services;</w:t>
      </w:r>
    </w:p>
    <w:p>
      <w:pPr>
        <w:spacing w:before="0" w:after="0" w:line="408" w:lineRule="exact"/>
        <w:ind w:left="0" w:right="0" w:firstLine="576"/>
        <w:jc w:val="left"/>
      </w:pPr>
      <w:r>
        <w:rPr>
          <w:strike/>
        </w:rPr>
        <w:t xml:space="preserve">(c)</w:t>
      </w:r>
      <w:r>
        <w:t>))</w:t>
      </w:r>
      <w:r>
        <w:rPr/>
        <w:t xml:space="preserve"> Automobile parking and storage garage services;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Service charges associated with tickets to professional sporting events;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Operating an athletic or fitness facility, including all charges for the use of such a facility or for any associated services and amenities, except as provided in </w:t>
      </w:r>
      <w:r>
        <w:t>((</w:t>
      </w:r>
      <w:r>
        <w:rPr>
          <w:strike/>
        </w:rPr>
        <w:t xml:space="preserve">(g)</w:t>
      </w:r>
      <w:r>
        <w:t>))</w:t>
      </w:r>
      <w:r>
        <w:rPr/>
        <w:t xml:space="preserve"> </w:t>
      </w:r>
      <w:r>
        <w:rPr>
          <w:u w:val="single"/>
        </w:rPr>
        <w:t xml:space="preserve">(f)</w:t>
      </w:r>
      <w:r>
        <w:rPr/>
        <w:t xml:space="preserve">(ii) of this subsection.</w:t>
      </w:r>
    </w:p>
    <w:p>
      <w:pPr>
        <w:spacing w:before="0" w:after="0" w:line="408" w:lineRule="exact"/>
        <w:ind w:left="0" w:right="0" w:firstLine="576"/>
        <w:jc w:val="left"/>
      </w:pPr>
      <w:r>
        <w:rPr/>
        <w:t xml:space="preserve">(ii) Notwithstanding anything to the contrary in </w:t>
      </w:r>
      <w:r>
        <w:t>((</w:t>
      </w:r>
      <w:r>
        <w:rPr>
          <w:strike/>
        </w:rPr>
        <w:t xml:space="preserve">(g)</w:t>
      </w:r>
      <w:r>
        <w:t>))</w:t>
      </w:r>
      <w:r>
        <w:rPr/>
        <w:t xml:space="preserve"> </w:t>
      </w:r>
      <w:r>
        <w:rPr>
          <w:u w:val="single"/>
        </w:rPr>
        <w:t xml:space="preserve">(f)</w:t>
      </w:r>
      <w:r>
        <w:rPr/>
        <w:t xml:space="preserve">(i)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w:t>
      </w:r>
      <w:r>
        <w:t>((</w:t>
      </w:r>
      <w:r>
        <w:rPr>
          <w:strike/>
        </w:rPr>
        <w:t xml:space="preserve">(g)</w:t>
      </w:r>
      <w:r>
        <w:t>))</w:t>
      </w:r>
      <w:r>
        <w:rPr/>
        <w:t xml:space="preserve"> </w:t>
      </w:r>
      <w:r>
        <w:rPr>
          <w:u w:val="single"/>
        </w:rPr>
        <w:t xml:space="preserve">(f)</w:t>
      </w:r>
      <w:r>
        <w:rPr/>
        <w:t xml:space="preserve">(ii)(C)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w:t>
      </w:r>
      <w:r>
        <w:t>((</w:t>
      </w:r>
      <w:r>
        <w:rPr>
          <w:strike/>
        </w:rPr>
        <w:t xml:space="preserve">(g)</w:t>
      </w:r>
      <w:r>
        <w:t>))</w:t>
      </w:r>
      <w:r>
        <w:rPr/>
        <w:t xml:space="preserve"> </w:t>
      </w:r>
      <w:r>
        <w:rPr>
          <w:u w:val="single"/>
        </w:rPr>
        <w:t xml:space="preserve">(f)</w:t>
      </w:r>
      <w:r>
        <w:rPr/>
        <w:t xml:space="preserve">(ii)(D), an authorized health care practitioner means a health care practitioner licensed under chapter 18.83, 18.25, 18.36A, 18.57,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w:t>
      </w:r>
      <w:r>
        <w:t>((</w:t>
      </w:r>
      <w:r>
        <w:rPr>
          <w:strike/>
        </w:rPr>
        <w:t xml:space="preserve">(g)</w:t>
      </w:r>
      <w:r>
        <w:t>))</w:t>
      </w:r>
      <w:r>
        <w:rPr/>
        <w:t xml:space="preserve"> </w:t>
      </w:r>
      <w:r>
        <w:rPr>
          <w:u w:val="single"/>
        </w:rPr>
        <w:t xml:space="preserve">(f)</w:t>
      </w:r>
      <w:r>
        <w:rPr/>
        <w:t xml:space="preserve">. For purposes of this subsection (3)</w:t>
      </w:r>
      <w:r>
        <w:t>((</w:t>
      </w:r>
      <w:r>
        <w:rPr>
          <w:strike/>
        </w:rPr>
        <w:t xml:space="preserve">(g)</w:t>
      </w:r>
      <w:r>
        <w:t>))</w:t>
      </w:r>
      <w:r>
        <w:rPr/>
        <w:t xml:space="preserve"> </w:t>
      </w:r>
      <w:r>
        <w:rPr>
          <w:u w:val="single"/>
        </w:rPr>
        <w:t xml:space="preserve">(f)</w:t>
      </w:r>
      <w:r>
        <w:rPr/>
        <w:t xml:space="preserve">(ii)(G),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w:t>
      </w:r>
      <w:r>
        <w:t>((</w:t>
      </w:r>
      <w:r>
        <w:rPr>
          <w:strike/>
        </w:rPr>
        <w:t xml:space="preserve">(g)</w:t>
      </w:r>
      <w:r>
        <w:t>))</w:t>
      </w:r>
      <w:r>
        <w:rPr/>
        <w:t xml:space="preserve"> </w:t>
      </w:r>
      <w:r>
        <w:rPr>
          <w:u w:val="single"/>
        </w:rPr>
        <w:t xml:space="preserve">(f)</w:t>
      </w:r>
      <w:r>
        <w:rPr/>
        <w:t xml:space="preserve">(ii)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w:t>
      </w:r>
      <w:r>
        <w:t>((</w:t>
      </w:r>
      <w:r>
        <w:rPr>
          <w:strike/>
        </w:rPr>
        <w:t xml:space="preserve">(g)</w:t>
      </w:r>
      <w:r>
        <w:t>))</w:t>
      </w:r>
      <w:r>
        <w:rPr/>
        <w:t xml:space="preserve"> </w:t>
      </w:r>
      <w:r>
        <w:rPr>
          <w:u w:val="single"/>
        </w:rPr>
        <w:t xml:space="preserve">(f)</w:t>
      </w:r>
      <w:r>
        <w:rPr/>
        <w:t xml:space="preserve">,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2020 c 139 s 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website; or (II) the service recipient's website, but only when the service provider's technology is used in creating or hosting the service recipient's website or is used in processing orders from customers using the service recipient's website.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w:t>
      </w:r>
      <w:r>
        <w:t>((</w:t>
      </w:r>
      <w:r>
        <w:rPr>
          <w:strike/>
        </w:rPr>
        <w:t xml:space="preserve">and</w:t>
      </w:r>
      <w:r>
        <w:t>))</w:t>
      </w:r>
    </w:p>
    <w:p>
      <w:pPr>
        <w:spacing w:before="0" w:after="0" w:line="408" w:lineRule="exact"/>
        <w:ind w:left="0" w:right="0" w:firstLine="576"/>
        <w:jc w:val="left"/>
      </w:pPr>
      <w:r>
        <w:rPr/>
        <w:t xml:space="preserve">(xvi) </w:t>
      </w:r>
      <w:r>
        <w:rPr>
          <w:u w:val="single"/>
        </w:rPr>
        <w:t xml:space="preserve">Any business activity taxable under section 2 of this act; and</w:t>
      </w:r>
    </w:p>
    <w:p>
      <w:pPr>
        <w:spacing w:before="0" w:after="0" w:line="408" w:lineRule="exact"/>
        <w:ind w:left="0" w:right="0" w:firstLine="576"/>
        <w:jc w:val="left"/>
      </w:pPr>
      <w:r>
        <w:rPr>
          <w:u w:val="single"/>
        </w:rPr>
        <w:t xml:space="preserve">(xvii)</w:t>
      </w:r>
      <w:r>
        <w:rPr/>
        <w:t xml:space="preserve">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w:t>
      </w:r>
      <w:r>
        <w:t>((</w:t>
      </w:r>
      <w:r>
        <w:rPr>
          <w:strike/>
        </w:rPr>
        <w:t xml:space="preserve">and</w:t>
      </w:r>
      <w:r>
        <w:t>))</w:t>
      </w:r>
    </w:p>
    <w:p>
      <w:pPr>
        <w:spacing w:before="0" w:after="0" w:line="408" w:lineRule="exact"/>
        <w:ind w:left="0" w:right="0" w:firstLine="576"/>
        <w:jc w:val="left"/>
      </w:pPr>
      <w:r>
        <w:rPr/>
        <w:t xml:space="preserve">(v) </w:t>
      </w:r>
      <w:r>
        <w:rPr>
          <w:u w:val="single"/>
        </w:rPr>
        <w:t xml:space="preserve">Personal data as defined in section 2 of this act; and</w:t>
      </w:r>
    </w:p>
    <w:p>
      <w:pPr>
        <w:spacing w:before="0" w:after="0" w:line="408" w:lineRule="exact"/>
        <w:ind w:left="0" w:right="0" w:firstLine="576"/>
        <w:jc w:val="left"/>
      </w:pPr>
      <w:r>
        <w:rPr>
          <w:u w:val="single"/>
        </w:rPr>
        <w:t xml:space="preserve">(vi)</w:t>
      </w:r>
      <w:r>
        <w:rPr/>
        <w:t xml:space="preserve"> Services and activities excluded from the definition of digital automated services in subsection (3)(b)(i) through </w:t>
      </w:r>
      <w:r>
        <w:t>((</w:t>
      </w:r>
      <w:r>
        <w:rPr>
          <w:strike/>
        </w:rPr>
        <w:t xml:space="preserve">(xv)</w:t>
      </w:r>
      <w:r>
        <w:t>))</w:t>
      </w:r>
      <w:r>
        <w:rPr/>
        <w:t xml:space="preserve"> </w:t>
      </w:r>
      <w:r>
        <w:rPr>
          <w:u w:val="single"/>
        </w:rPr>
        <w:t xml:space="preserve">(xvi)</w:t>
      </w:r>
      <w:r>
        <w:rPr/>
        <w:t xml:space="preserve"> of this section and not otherwise described in (b)(i) through </w:t>
      </w:r>
      <w:r>
        <w:t>((</w:t>
      </w:r>
      <w:r>
        <w:rPr>
          <w:strike/>
        </w:rPr>
        <w:t xml:space="preserve">(iv)</w:t>
      </w:r>
      <w:r>
        <w:t>))</w:t>
      </w:r>
      <w:r>
        <w:rPr/>
        <w:t xml:space="preserve"> </w:t>
      </w:r>
      <w:r>
        <w:rPr>
          <w:u w:val="single"/>
        </w:rPr>
        <w:t xml:space="preserve">(v)</w:t>
      </w:r>
      <w:r>
        <w:rPr/>
        <w:t xml:space="preserve">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2015 3rd sp.s. c 5 s 101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provided in RCW 82.04.290(2)(a).</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w:t>
      </w:r>
      <w:r>
        <w:rPr>
          <w:u w:val="single"/>
        </w:rPr>
        <w:t xml:space="preserve">gross income of the business from the sale, or exchange for consideration, of personal data as defined in section 2 of this act,</w:t>
      </w:r>
      <w:r>
        <w:rPr/>
        <w:t xml:space="preserv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w:t>
      </w:r>
      <w:r>
        <w:t>((</w:t>
      </w:r>
      <w:r>
        <w:rPr>
          <w:strike/>
        </w:rPr>
        <w:t xml:space="preserve">and</w:t>
      </w:r>
      <w:r>
        <w:t>))</w:t>
      </w:r>
    </w:p>
    <w:p>
      <w:pPr>
        <w:spacing w:before="0" w:after="0" w:line="408" w:lineRule="exact"/>
        <w:ind w:left="0" w:right="0" w:firstLine="576"/>
        <w:jc w:val="left"/>
      </w:pPr>
      <w:r>
        <w:rPr/>
        <w:t xml:space="preserve">(x) RCW 82.04.260(14) and 82.04.280(1)(a), but only with respect to advertising</w:t>
      </w:r>
      <w:r>
        <w:rPr>
          <w:u w:val="single"/>
        </w:rPr>
        <w:t xml:space="preserve">; and</w:t>
      </w:r>
    </w:p>
    <w:p>
      <w:pPr>
        <w:spacing w:before="0" w:after="0" w:line="408" w:lineRule="exact"/>
        <w:ind w:left="0" w:right="0" w:firstLine="576"/>
        <w:jc w:val="left"/>
      </w:pPr>
      <w:r>
        <w:rPr>
          <w:u w:val="single"/>
        </w:rPr>
        <w:t xml:space="preserve">(xi) Section 2 of this act</w:t>
      </w:r>
      <w:r>
        <w:rPr/>
        <w:t xml:space="preserve">.</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462</w:t>
      </w:r>
      <w:r>
        <w:rPr/>
        <w:t xml:space="preserve"> and 2014 c 97 s 305 are each amended to read as follows:</w:t>
      </w:r>
    </w:p>
    <w:p>
      <w:pPr>
        <w:spacing w:before="0" w:after="0" w:line="408" w:lineRule="exact"/>
        <w:ind w:left="0" w:right="0" w:firstLine="576"/>
        <w:jc w:val="left"/>
      </w:pPr>
      <w:r>
        <w:rPr/>
        <w:t xml:space="preserve">(1) The apportionable income of a person within the scope of RCW 82.04.460(1) is apportioned to Washington by multiplying its apportionable income by the receipts factor. Persons who are subject to tax under more than one of the tax classifications enumerated in RCW 82.04.460(4)(a) (i) through </w:t>
      </w:r>
      <w:r>
        <w:t>((</w:t>
      </w:r>
      <w:r>
        <w:rPr>
          <w:strike/>
        </w:rPr>
        <w:t xml:space="preserve">(x)</w:t>
      </w:r>
      <w:r>
        <w:t>))</w:t>
      </w:r>
      <w:r>
        <w:rPr/>
        <w:t xml:space="preserve"> </w:t>
      </w:r>
      <w:r>
        <w:rPr>
          <w:u w:val="single"/>
        </w:rPr>
        <w:t xml:space="preserve">(xi)</w:t>
      </w:r>
      <w:r>
        <w:rPr/>
        <w:t xml:space="preserve"> must calculate a separate receipts factor for each tax classification that the person is taxable under.</w:t>
      </w:r>
    </w:p>
    <w:p>
      <w:pPr>
        <w:spacing w:before="0" w:after="0" w:line="408" w:lineRule="exact"/>
        <w:ind w:left="0" w:right="0" w:firstLine="576"/>
        <w:jc w:val="left"/>
      </w:pPr>
      <w:r>
        <w:rPr/>
        <w:t xml:space="preserve">(2) For purposes of subsection (1) of this section, the receipts factor is a fraction and is calculated as provided in subsections (3) </w:t>
      </w:r>
      <w:r>
        <w:t>((</w:t>
      </w:r>
      <w:r>
        <w:rPr>
          <w:strike/>
        </w:rPr>
        <w:t xml:space="preserve">and (4)</w:t>
      </w:r>
      <w:r>
        <w:t>))</w:t>
      </w:r>
      <w:r>
        <w:rPr/>
        <w:t xml:space="preserve"> </w:t>
      </w:r>
      <w:r>
        <w:rPr>
          <w:u w:val="single"/>
        </w:rPr>
        <w:t xml:space="preserve">through (5)</w:t>
      </w:r>
      <w:r>
        <w:rPr/>
        <w:t xml:space="preserve"> of this section and, for financial institutions, as provided in the rule adopted by the department under the authority of RCW 82.04.460(2).</w:t>
      </w:r>
    </w:p>
    <w:p>
      <w:pPr>
        <w:spacing w:before="0" w:after="0" w:line="408" w:lineRule="exact"/>
        <w:ind w:left="0" w:right="0" w:firstLine="576"/>
        <w:jc w:val="left"/>
      </w:pPr>
      <w:r>
        <w:rPr/>
        <w:t xml:space="preserve">(3)(a) The numerator of the receipts factor is the total gross income of the business of the taxpayer attributable to this state during the tax year from engaging in an apportionable activity. The denominator of the receipts factor is the total gross income of the business of the taxpayer from engaging in an apportionable activity everywhere in the world during the tax year.</w:t>
      </w:r>
    </w:p>
    <w:p>
      <w:pPr>
        <w:spacing w:before="0" w:after="0" w:line="408" w:lineRule="exact"/>
        <w:ind w:left="0" w:right="0" w:firstLine="576"/>
        <w:jc w:val="left"/>
      </w:pPr>
      <w:r>
        <w:rPr/>
        <w:t xml:space="preserve">(b) Except as otherwise provided in this section, for purposes of computing the receipts factor, gross income of the business generated from each apportionable activity is attributable to the state:</w:t>
      </w:r>
    </w:p>
    <w:p>
      <w:pPr>
        <w:spacing w:before="0" w:after="0" w:line="408" w:lineRule="exact"/>
        <w:ind w:left="0" w:right="0" w:firstLine="576"/>
        <w:jc w:val="left"/>
      </w:pPr>
      <w:r>
        <w:rPr/>
        <w:t xml:space="preserve">(i) Where the customer received the benefit of the taxpayer's service or, in the case of gross income from royalties, where the customer used the taxpayer's intangible property. When a customer receives the benefit of the taxpayer's services or uses the taxpayer's intangible property in this and one or more other states and the amount of gross income of the business that was received by the taxpayer in return for the services received or intangible property used by the customer in this state can be reasonably determined by the taxpayer, such amount of gross income must be attributed to this state.</w:t>
      </w:r>
    </w:p>
    <w:p>
      <w:pPr>
        <w:spacing w:before="0" w:after="0" w:line="408" w:lineRule="exact"/>
        <w:ind w:left="0" w:right="0" w:firstLine="576"/>
        <w:jc w:val="left"/>
      </w:pPr>
      <w:r>
        <w:rPr/>
        <w:t xml:space="preserve">(ii) If the customer received the benefit of the service or used the intangible property in more than one state and if the taxpayer is unable to attribute gross income of the business under the provisions of (b)(i) of this subsection (3), gross income of the business must be attributed to the state in which the benefit of the service was primarily received or in which the intangible property was primarily used.</w:t>
      </w:r>
    </w:p>
    <w:p>
      <w:pPr>
        <w:spacing w:before="0" w:after="0" w:line="408" w:lineRule="exact"/>
        <w:ind w:left="0" w:right="0" w:firstLine="576"/>
        <w:jc w:val="left"/>
      </w:pPr>
      <w:r>
        <w:rPr/>
        <w:t xml:space="preserve">(iii) If the taxpayer is unable to attribute gross income of the business under the provisions of (b)(i) or (ii) of this subsection (3), gross income of the business must be attributed to the state from which the customer ordered the service or, in the case of royalties, the office of the customer from which the royalty agreement with the taxpayer was negotiated.</w:t>
      </w:r>
    </w:p>
    <w:p>
      <w:pPr>
        <w:spacing w:before="0" w:after="0" w:line="408" w:lineRule="exact"/>
        <w:ind w:left="0" w:right="0" w:firstLine="576"/>
        <w:jc w:val="left"/>
      </w:pPr>
      <w:r>
        <w:rPr/>
        <w:t xml:space="preserve">(iv) If the taxpayer is unable to attribute gross income of the business under the provisions of (b)(i), (ii), or (iii) of this subsection (3), gross income of the business must be attributed to the state to which the billing statements or invoices are sent to the customer by the taxpayer.</w:t>
      </w:r>
    </w:p>
    <w:p>
      <w:pPr>
        <w:spacing w:before="0" w:after="0" w:line="408" w:lineRule="exact"/>
        <w:ind w:left="0" w:right="0" w:firstLine="576"/>
        <w:jc w:val="left"/>
      </w:pPr>
      <w:r>
        <w:rPr/>
        <w:t xml:space="preserve">(v) If the taxpayer is unable to attribute gross income of the business under the provisions of (b)(i), (ii), (iii), or (iv) of this subsection (3), gross income of the business must be attributed to the state from which the customer sends payment to the taxpayer.</w:t>
      </w:r>
    </w:p>
    <w:p>
      <w:pPr>
        <w:spacing w:before="0" w:after="0" w:line="408" w:lineRule="exact"/>
        <w:ind w:left="0" w:right="0" w:firstLine="576"/>
        <w:jc w:val="left"/>
      </w:pPr>
      <w:r>
        <w:rPr/>
        <w:t xml:space="preserve">(vi) If the taxpayer is unable to attribute gross income of the business under the provisions of (b)(i), (ii), (iii), (iv), or (v) of this subsection (3), gross income of the business must be attributed to the state where the customer is located as indicated by the customer's address: (A) Shown in the taxpayer's business records maintained in the regular course of business; or (B) obtained during consummation of the sale or the negotiation of the contract for services or for the use of the taxpayer's intangible property, including any address of a customer's payment instrument when readily available to the taxpayer and no other address is available.</w:t>
      </w:r>
    </w:p>
    <w:p>
      <w:pPr>
        <w:spacing w:before="0" w:after="0" w:line="408" w:lineRule="exact"/>
        <w:ind w:left="0" w:right="0" w:firstLine="576"/>
        <w:jc w:val="left"/>
      </w:pPr>
      <w:r>
        <w:rPr/>
        <w:t xml:space="preserve">(vii) If the taxpayer is unable to attribute gross income of the business under the provisions of (b)(i), (ii), (iii), (iv), (v), or (vi) of this subsection (3), gross income of the business must be attributed to the commercial domicile of the taxpayer.</w:t>
      </w:r>
    </w:p>
    <w:p>
      <w:pPr>
        <w:spacing w:before="0" w:after="0" w:line="408" w:lineRule="exact"/>
        <w:ind w:left="0" w:right="0" w:firstLine="576"/>
        <w:jc w:val="left"/>
      </w:pPr>
      <w:r>
        <w:rPr/>
        <w:t xml:space="preserve">(viii) For purposes of this subsection (3)(b), "customer" means a person or entity to whom the taxpayer makes a sale or renders services or from whom the taxpayer otherwise receives gross income of the business. "Customer" includes anyone who pays royalties or charges in the nature of royalties for the use of the taxpayer's intangible property.</w:t>
      </w:r>
    </w:p>
    <w:p>
      <w:pPr>
        <w:spacing w:before="0" w:after="0" w:line="408" w:lineRule="exact"/>
        <w:ind w:left="0" w:right="0" w:firstLine="576"/>
        <w:jc w:val="left"/>
      </w:pPr>
      <w:r>
        <w:rPr/>
        <w:t xml:space="preserve">(c) Gross income of the business from engaging in an apportionable activity must be excluded from the denominator of the receipts factor if, in respect to such activity, at least some of the activity is performed in this state, and the gross income is attributable under (b) of this subsection (3) to a state in which the taxpayer is not taxable. For purposes of this subsection (3)(c), "not taxable" means that the taxpayer is not subject to a business activities tax by that state, except that a taxpayer is taxable in a state in which it would be deemed to have a substantial nexus with that state under the standards in RCW 82.04.067(1) regardless of whether that state imposes such a tax. "Business activities tax" means a tax measured by the amount of, or economic results of, business activity conducted in a state.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(d) This subsection (3) does not apply to financial institutions with respect to apportionable income taxable under RCW 82.04.290. Financial institutions must calculate the receipts factor as provided in subsection (4) of this section and the rule adopted by the department under the authority of RCW 82.04.460(2) with respect to apportionable income taxable under RCW 82.04.290. Financial institutions that are subject to tax under any other tax classification enumerated in RCW 82.04.460(4)(a) (i) through (v) and (vii) through </w:t>
      </w:r>
      <w:r>
        <w:t>((</w:t>
      </w:r>
      <w:r>
        <w:rPr>
          <w:strike/>
        </w:rPr>
        <w:t xml:space="preserve">(x)</w:t>
      </w:r>
      <w:r>
        <w:t>))</w:t>
      </w:r>
      <w:r>
        <w:rPr/>
        <w:t xml:space="preserve"> </w:t>
      </w:r>
      <w:r>
        <w:rPr>
          <w:u w:val="single"/>
        </w:rPr>
        <w:t xml:space="preserve">(xi)</w:t>
      </w:r>
      <w:r>
        <w:rPr/>
        <w:t xml:space="preserve"> must calculate a separate receipts factor, as provided in this section, for each of the other tax classifications that the financial institution is taxable under.</w:t>
      </w:r>
    </w:p>
    <w:p>
      <w:pPr>
        <w:spacing w:before="0" w:after="0" w:line="408" w:lineRule="exact"/>
        <w:ind w:left="0" w:right="0" w:firstLine="576"/>
        <w:jc w:val="left"/>
      </w:pPr>
      <w:r>
        <w:rPr/>
        <w:t xml:space="preserve">(4) A taxpayer may calculate the receipts factor for the current tax year based on the most recent calendar year for which information is available for the full calendar year. If a taxpayer does not calculate the receipts factor for the current tax year based on previous calendar year information as authorized in this subsection, the business must use current year information to calculate the receipts factor for the current tax year. In either case, a taxpayer must correct the reporting for the current tax year when complete information is available to calculate the receipts factor for that year, but not later than October 31st of the following tax year. Interest will apply to any additional tax due on a corrected tax return. Interest must be computed and assessed as provided in RCW 82.32.050 and accrues until the additional taxes are paid. Penalties as provided in RCW 82.32.090 will apply to any such additional tax due only if the current tax year reporting is not corrected and the additional tax is not paid by October 31st of the following tax year. Interest as provided in RCW 82.32.060 will apply to any tax paid in excess of that properly due on a return as a result of a taxpayer using previous calendar year data or incomplete current-year data to calculate the receipts factor.</w:t>
      </w:r>
    </w:p>
    <w:p>
      <w:pPr>
        <w:spacing w:before="0" w:after="0" w:line="408" w:lineRule="exact"/>
        <w:ind w:left="0" w:right="0" w:firstLine="576"/>
        <w:jc w:val="left"/>
      </w:pPr>
      <w:r>
        <w:rPr/>
        <w:t xml:space="preserve">(5)</w:t>
      </w:r>
      <w:r>
        <w:rPr>
          <w:u w:val="single"/>
        </w:rPr>
        <w:t xml:space="preserve">(a)(i) Except as provided in (a)(ii) of this subsection (5), for purposes of computing the receipts factor under subsection (3) of this section, gross income of the business generating sales, or exchange for consideration, of personal data must be attributable to this state in the ratio, expressed as a percentage, that the number of Washington addresses in the personal data bears to all addresses in the personal data. Only personal data used to generate the gross income of the business to be attributed under this subsection (5)(a)(i) is applicable in calculating the ratio described in this subsection (5)(a)(i).</w:t>
      </w:r>
    </w:p>
    <w:p>
      <w:pPr>
        <w:spacing w:before="0" w:after="0" w:line="408" w:lineRule="exact"/>
        <w:ind w:left="0" w:right="0" w:firstLine="576"/>
        <w:jc w:val="left"/>
      </w:pPr>
      <w:r>
        <w:rPr>
          <w:u w:val="single"/>
        </w:rPr>
        <w:t xml:space="preserve">(ii) If the taxpayer is unable to attribute gross income of the business under the provisions of (a)(i) of this subsection (5), gross income of the business generated from making sales, or exchanging for consideration, of personal data must be attributed to this state in the ratio, expressed as a percentage, that the population this state bears to all the states of the United States in the taxpayer's market, or by any other reasonable methods of attribution allowed by the department.</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"Addresses" means physical, mailing, or internet protocol addresses, or similar addresses; and</w:t>
      </w:r>
    </w:p>
    <w:p>
      <w:pPr>
        <w:spacing w:before="0" w:after="0" w:line="408" w:lineRule="exact"/>
        <w:ind w:left="0" w:right="0" w:firstLine="576"/>
        <w:jc w:val="left"/>
      </w:pPr>
      <w:r>
        <w:rPr>
          <w:u w:val="single"/>
        </w:rPr>
        <w:t xml:space="preserve">(ii) "Personal data" has the same meaning as provided in section 2 of this act.</w:t>
      </w:r>
    </w:p>
    <w:p>
      <w:pPr>
        <w:spacing w:before="0" w:after="0" w:line="408" w:lineRule="exact"/>
        <w:ind w:left="0" w:right="0" w:firstLine="576"/>
        <w:jc w:val="left"/>
      </w:pPr>
      <w:r>
        <w:rPr>
          <w:u w:val="single"/>
        </w:rPr>
        <w:t xml:space="preserve">(6)</w:t>
      </w:r>
      <w:r>
        <w:rPr/>
        <w:t xml:space="preserve"> Unless the context clearly requires otherwise, the definitions in this subsection apply throughout this section.</w:t>
      </w:r>
    </w:p>
    <w:p>
      <w:pPr>
        <w:spacing w:before="0" w:after="0" w:line="408" w:lineRule="exact"/>
        <w:ind w:left="0" w:right="0" w:firstLine="576"/>
        <w:jc w:val="left"/>
      </w:pPr>
      <w:r>
        <w:rPr/>
        <w:t xml:space="preserve">(a) "Apportionable activities" and "apportionable income" have the same meaning as in RCW 82.04.460.</w:t>
      </w:r>
    </w:p>
    <w:p>
      <w:pPr>
        <w:spacing w:before="0" w:after="0" w:line="408" w:lineRule="exact"/>
        <w:ind w:left="0" w:right="0" w:firstLine="576"/>
        <w:jc w:val="left"/>
      </w:pPr>
      <w:r>
        <w:rPr/>
        <w:t xml:space="preserve">(b)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0291</w:t>
      </w:r>
      <w:r>
        <w:rPr/>
        <w:t xml:space="preserve"> and 2015 c 169 s 4 are each amended to read as follows:</w:t>
      </w:r>
    </w:p>
    <w:p>
      <w:pPr>
        <w:spacing w:before="0" w:after="0" w:line="408" w:lineRule="exact"/>
        <w:ind w:left="0" w:right="0" w:firstLine="576"/>
        <w:jc w:val="left"/>
      </w:pPr>
      <w:r>
        <w:rPr/>
        <w:t xml:space="preserve">The tax imposed by RCW 82.08.020 does not apply to sales defined as a sale at retail and retail sale under RCW 82.04.050 (3)</w:t>
      </w:r>
      <w:r>
        <w:t>((</w:t>
      </w:r>
      <w:r>
        <w:rPr>
          <w:strike/>
        </w:rPr>
        <w:t xml:space="preserve">(g)</w:t>
      </w:r>
      <w:r>
        <w:t>))</w:t>
      </w:r>
      <w:r>
        <w:rPr/>
        <w:t xml:space="preserve"> </w:t>
      </w:r>
      <w:r>
        <w:rPr>
          <w:u w:val="single"/>
        </w:rPr>
        <w:t xml:space="preserve">(f)</w:t>
      </w:r>
      <w:r>
        <w:rPr/>
        <w:t xml:space="preserve"> or (15), by a nonprofit youth organization, as defined in RCW 82.04.4271, to members of the organization; and the tax does not apply to physical fitness classes provided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087</w:t>
      </w:r>
      <w:r>
        <w:rPr/>
        <w:t xml:space="preserve"> and 2015 c 169 s 11 are each amended to read as follows:</w:t>
      </w:r>
    </w:p>
    <w:p>
      <w:pPr>
        <w:spacing w:before="0" w:after="0" w:line="408" w:lineRule="exact"/>
        <w:ind w:left="0" w:right="0" w:firstLine="576"/>
        <w:jc w:val="left"/>
      </w:pPr>
      <w:r>
        <w:rPr/>
        <w:t xml:space="preserve">(1) The director may grant a direct pay permit to a taxpayer who demonstrates, to the satisfaction of the director, that the taxpayer meets the requirements of this section. The direct pay permit allows the taxpayer to accrue and remit directly to the department use tax on the acquisition of tangible personal property or sales tax on the sale of or charges made for labor and/or services, in accordance with all of the applicable provisions of this title. Any taxpayer that uses a direct pay permit must remit state and local sales or use tax directly to the department. The agreement by the purchaser to remit tax directly to the department, rather than pay sales or use tax to the seller, relieves the seller of the obligation to collect sales or use tax and requires the buyer to pay use tax on the tangible personal property and sales tax on the sale of or charges made for labor and/or services.</w:t>
      </w:r>
    </w:p>
    <w:p>
      <w:pPr>
        <w:spacing w:before="0" w:after="0" w:line="408" w:lineRule="exact"/>
        <w:ind w:left="0" w:right="0" w:firstLine="576"/>
        <w:jc w:val="left"/>
      </w:pPr>
      <w:r>
        <w:rPr/>
        <w:t xml:space="preserve">(2)(a) A taxpayer may apply for a permit under this section if: (i) The taxpayer's cumulative tax liability is reasonably expected to be two hundred forty thousand dollars or more in the current calendar year; or (ii) the taxpayer makes purchases subject to the taxes imposed under chapter 82.08 or 82.12 RCW in excess of ten million dollars per calendar year. For the purposes of this section, "tax liability" means the amount required to be remitted to the department for taxes administered under this chapter, except for the taxes imposed or authorized by chapters 82.14A, 82.14B, 82.24, 82.27, 82.29A, and 84.33 RCW.</w:t>
      </w:r>
    </w:p>
    <w:p>
      <w:pPr>
        <w:spacing w:before="0" w:after="0" w:line="408" w:lineRule="exact"/>
        <w:ind w:left="0" w:right="0" w:firstLine="576"/>
        <w:jc w:val="left"/>
      </w:pPr>
      <w:r>
        <w:rPr/>
        <w:t xml:space="preserve">(b) Application for a permit must be made in writing to the director in a form and manner prescribed by the department. A taxpayer who transacts business in two or more locations may submit one application to cover the multiple locations.</w:t>
      </w:r>
    </w:p>
    <w:p>
      <w:pPr>
        <w:spacing w:before="0" w:after="0" w:line="408" w:lineRule="exact"/>
        <w:ind w:left="0" w:right="0" w:firstLine="576"/>
        <w:jc w:val="left"/>
      </w:pPr>
      <w:r>
        <w:rPr/>
        <w:t xml:space="preserve">(c) The director must review a direct pay permit application in a timely manner and must notify the applicant, in writing, of the approval or denial of the application. The department must approve or deny an application based on the applicant's ability to comply with local government use tax coding capabilities and responsibilities; requirements for vendor notification; recordkeeping obligations; electronic data capabilities; and tax reporting procedures. Additionally, an application may be denied if the director determines that denial would be in the best interest of collecting taxes due under this title. The department must provide a direct pay permit to an approved applicant with the notice of approval. The direct pay permit must clearly state that the holder is solely responsible for the accrual and payment of the tax imposed under chapters 82.08 and 82.12 RCW and that the seller is relieved of liability to collect tax imposed under chapters 82.08 and 82.12 RCW on all sales to the direct pay permit holder. The taxpayer may petition the director for reconsideration of a denial.</w:t>
      </w:r>
    </w:p>
    <w:p>
      <w:pPr>
        <w:spacing w:before="0" w:after="0" w:line="408" w:lineRule="exact"/>
        <w:ind w:left="0" w:right="0" w:firstLine="576"/>
        <w:jc w:val="left"/>
      </w:pPr>
      <w:r>
        <w:rPr/>
        <w:t xml:space="preserve">(d) A taxpayer who uses a direct pay permit must continue to maintain records that are necessary to a determination of the tax liability in accordance with this title. A direct pay permit is not transferable and the use of a direct pay permit may not be assigned to a third party.</w:t>
      </w:r>
    </w:p>
    <w:p>
      <w:pPr>
        <w:spacing w:before="0" w:after="0" w:line="408" w:lineRule="exact"/>
        <w:ind w:left="0" w:right="0" w:firstLine="576"/>
        <w:jc w:val="left"/>
      </w:pPr>
      <w:r>
        <w:rPr/>
        <w:t xml:space="preserve">(3) Taxes for which the direct pay permit is used are due and payable on the tax return for the reporting period in which the taxpayer (a) receives the tangible personal property purchased or in which the labor and/or services are performed or (b) receives an invoice for such property or such labor and/or services, whichever period is earlier.</w:t>
      </w:r>
    </w:p>
    <w:p>
      <w:pPr>
        <w:spacing w:before="0" w:after="0" w:line="408" w:lineRule="exact"/>
        <w:ind w:left="0" w:right="0" w:firstLine="576"/>
        <w:jc w:val="left"/>
      </w:pPr>
      <w:r>
        <w:rPr/>
        <w:t xml:space="preserve">(4) The holder of a direct pay permit must furnish a copy of the direct pay permit to each vendor with whom the taxpayer has opted to use a direct pay permit. Sellers who make sales upon which the sales or use tax is not collected by reason of the provisions of this section, in addition to existing requirements under this title, must maintain a copy of the direct pay permit and any such records or information as the department may specify.</w:t>
      </w:r>
    </w:p>
    <w:p>
      <w:pPr>
        <w:spacing w:before="0" w:after="0" w:line="408" w:lineRule="exact"/>
        <w:ind w:left="0" w:right="0" w:firstLine="576"/>
        <w:jc w:val="left"/>
      </w:pPr>
      <w:r>
        <w:rPr/>
        <w:t xml:space="preserve">(5) A direct pay permit is subject to revocation by the director at any time the department determines that the taxpayer has violated any provision of this section or that revocation would be in the best interests of collecting the taxes due under this title. The notice of revocation must be in writing and is effective either as of the end of the taxpayer's next normal reporting period or a date deemed appropriate by the director and identified in the revocation notice. The taxpayer may petition the director for reconsideration of a revocation and reinstatement of the permit.</w:t>
      </w:r>
    </w:p>
    <w:p>
      <w:pPr>
        <w:spacing w:before="0" w:after="0" w:line="408" w:lineRule="exact"/>
        <w:ind w:left="0" w:right="0" w:firstLine="576"/>
        <w:jc w:val="left"/>
      </w:pPr>
      <w:r>
        <w:rPr/>
        <w:t xml:space="preserve">(6) Any taxpayer who chooses to no longer use a direct pay permit or whose permit is revoked by the department, must return the permit to the department and immediately make a good faith effort to notify all vendors to whom the permit was given, advising them that the permit is no longer valid.</w:t>
      </w:r>
    </w:p>
    <w:p>
      <w:pPr>
        <w:spacing w:before="0" w:after="0" w:line="408" w:lineRule="exact"/>
        <w:ind w:left="0" w:right="0" w:firstLine="576"/>
        <w:jc w:val="left"/>
      </w:pPr>
      <w:r>
        <w:rPr/>
        <w:t xml:space="preserve">(7) Except as provided in this subsection, the direct pay permit may be used for any purchase of tangible personal property and any retail sale under RCW 82.04.050. The direct pay permit may not be used for:</w:t>
      </w:r>
    </w:p>
    <w:p>
      <w:pPr>
        <w:spacing w:before="0" w:after="0" w:line="408" w:lineRule="exact"/>
        <w:ind w:left="0" w:right="0" w:firstLine="576"/>
        <w:jc w:val="left"/>
      </w:pPr>
      <w:r>
        <w:rPr/>
        <w:t xml:space="preserve">(a) Purchases of meals or beverages;</w:t>
      </w:r>
    </w:p>
    <w:p>
      <w:pPr>
        <w:spacing w:before="0" w:after="0" w:line="408" w:lineRule="exact"/>
        <w:ind w:left="0" w:right="0" w:firstLine="576"/>
        <w:jc w:val="left"/>
      </w:pPr>
      <w:r>
        <w:rPr/>
        <w:t xml:space="preserve">(b) Purchases of motor vehicles, trailers, boats, airplanes, and other property subject to requirements for title transactions by the department of licensing;</w:t>
      </w:r>
    </w:p>
    <w:p>
      <w:pPr>
        <w:spacing w:before="0" w:after="0" w:line="408" w:lineRule="exact"/>
        <w:ind w:left="0" w:right="0" w:firstLine="576"/>
        <w:jc w:val="left"/>
      </w:pPr>
      <w:r>
        <w:rPr/>
        <w:t xml:space="preserve">(c) Purchases for which a reseller permit or other documentation authorized under RCW 82.04.470 may be used;</w:t>
      </w:r>
    </w:p>
    <w:p>
      <w:pPr>
        <w:spacing w:before="0" w:after="0" w:line="408" w:lineRule="exact"/>
        <w:ind w:left="0" w:right="0" w:firstLine="576"/>
        <w:jc w:val="left"/>
      </w:pPr>
      <w:r>
        <w:rPr/>
        <w:t xml:space="preserve">(d) Purchases that meet the definitions of RCW 82.04.050 (2) (e) and (f), (3) (a) </w:t>
      </w:r>
      <w:r>
        <w:t>((</w:t>
      </w:r>
      <w:r>
        <w:rPr>
          <w:strike/>
        </w:rPr>
        <w:t xml:space="preserve">through (c), (e), (f), and (g)</w:t>
      </w:r>
      <w:r>
        <w:t>))</w:t>
      </w:r>
      <w:r>
        <w:rPr>
          <w:u w:val="single"/>
        </w:rPr>
        <w:t xml:space="preserve">, (b), and (d) through (f)</w:t>
      </w:r>
      <w:r>
        <w:rPr/>
        <w:t xml:space="preserve">, (5), and (15); or</w:t>
      </w:r>
    </w:p>
    <w:p>
      <w:pPr>
        <w:spacing w:before="0" w:after="0" w:line="408" w:lineRule="exact"/>
        <w:ind w:left="0" w:right="0" w:firstLine="576"/>
        <w:jc w:val="left"/>
      </w:pPr>
      <w:r>
        <w:rPr/>
        <w:t xml:space="preserve">(e) Other activities subject to tax under chapter 82.08 or 82.12 RCW that the department by rule designates, consistent with the purposes of this section, as activities for which a direct pay permit is not appropriate and may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through 12 of this act take effect January 1, 2022.</w:t>
      </w:r>
    </w:p>
    <w:p/>
    <w:p>
      <w:pPr>
        <w:jc w:val="center"/>
      </w:pPr>
      <w:r>
        <w:rPr>
          <w:b/>
        </w:rPr>
        <w:t>--- END ---</w:t>
      </w:r>
    </w:p>
    <w:sectPr>
      <w:pgNumType w:start="1"/>
      <w:footerReference xmlns:r="http://schemas.openxmlformats.org/officeDocument/2006/relationships" r:id="Ra8a60e01c54c4d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160a17b06a41c1" /><Relationship Type="http://schemas.openxmlformats.org/officeDocument/2006/relationships/footer" Target="/word/footer1.xml" Id="Ra8a60e01c54c4d37" /></Relationships>
</file>