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5c9a5bea96433c" /></Relationships>
</file>

<file path=word/document.xml><?xml version="1.0" encoding="utf-8"?>
<w:document xmlns:w="http://schemas.openxmlformats.org/wordprocessingml/2006/main">
  <w:body>
    <w:p>
      <w:r>
        <w:t>Z-0233.1</w:t>
      </w:r>
    </w:p>
    <w:p>
      <w:pPr>
        <w:jc w:val="center"/>
      </w:pPr>
      <w:r>
        <w:t>_______________________________________________</w:t>
      </w:r>
    </w:p>
    <w:p/>
    <w:p>
      <w:pPr>
        <w:jc w:val="center"/>
      </w:pPr>
      <w:r>
        <w:rPr>
          <w:b/>
        </w:rPr>
        <w:t>HOUSE BILL 1423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Fitzgibbon, Springer, and Dent; by request of Department of Natural Resources</w:t>
      </w:r>
    </w:p>
    <w:p/>
    <w:p>
      <w:r>
        <w:rPr>
          <w:t xml:space="preserve">Read first time 01/29/21.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smoke management civil enforcement; amending RCW 70A.15.3160;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15</w:t>
      </w:r>
      <w:r>
        <w:rPr/>
        <w:t xml:space="preserve">.</w:t>
      </w:r>
      <w:r>
        <w:t xml:space="preserve">3160</w:t>
      </w:r>
      <w:r>
        <w:rPr/>
        <w:t xml:space="preserve"> and 2020 c 20 s 1112 are each amended to read as follows:</w:t>
      </w:r>
    </w:p>
    <w:p>
      <w:pPr>
        <w:spacing w:before="0" w:after="0" w:line="408" w:lineRule="exact"/>
        <w:ind w:left="0" w:right="0" w:firstLine="576"/>
        <w:jc w:val="left"/>
      </w:pPr>
      <w:r>
        <w:rPr/>
        <w:t xml:space="preserve">(1)(a) Except as provided in RCW 43.05.060 through 43.05.080 and 43.05.150, and in addition to or as an alternate to any other penalty provided by law, any person who violates any of the provisions of this chapter, chapter 70A.25 or 70A.450 RCW, RCW 70A.45.080 </w:t>
      </w:r>
      <w:r>
        <w:rPr>
          <w:u w:val="single"/>
        </w:rPr>
        <w:t xml:space="preserve">or 76.04.205</w:t>
      </w:r>
      <w:r>
        <w:rPr/>
        <w:t xml:space="preserve">, or any of the rules in force under such chapters or section may incur a civil penalty in an amount not to exceed ten thousand dollars per day for each violation. Each such violation shall be a separate and distinct offense, and in case of a continuing violation, each day's continuance shall be a separate and distinct violation.</w:t>
      </w:r>
    </w:p>
    <w:p>
      <w:pPr>
        <w:spacing w:before="0" w:after="0" w:line="408" w:lineRule="exact"/>
        <w:ind w:left="0" w:right="0" w:firstLine="576"/>
        <w:jc w:val="left"/>
      </w:pPr>
      <w:r>
        <w:rPr/>
        <w:t xml:space="preserve">(b) 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(2)(a)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t xml:space="preserve">(b) 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 All penalties recovered under this section by the department </w:t>
      </w:r>
      <w:r>
        <w:rPr>
          <w:u w:val="single"/>
        </w:rPr>
        <w:t xml:space="preserve">or the department of natural resources</w:t>
      </w:r>
      <w:r>
        <w:rPr/>
        <w:t xml:space="preserve"> shall be paid into the state treasury and credited to the air pollution control account established in RCW 70A.15.1010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The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
      <w:pPr>
        <w:jc w:val="center"/>
      </w:pPr>
      <w:r>
        <w:rPr>
          <w:b/>
        </w:rPr>
        <w:t>--- END ---</w:t>
      </w:r>
    </w:p>
    <w:sectPr>
      <w:pgNumType w:start="1"/>
      <w:footerReference xmlns:r="http://schemas.openxmlformats.org/officeDocument/2006/relationships" r:id="R2a4c9c53c1a645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3a15855c654288" /><Relationship Type="http://schemas.openxmlformats.org/officeDocument/2006/relationships/footer" Target="/word/footer1.xml" Id="R2a4c9c53c1a64570" /></Relationships>
</file>