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4c7fe805e4595" /></Relationships>
</file>

<file path=word/document.xml><?xml version="1.0" encoding="utf-8"?>
<w:document xmlns:w="http://schemas.openxmlformats.org/wordprocessingml/2006/main">
  <w:body>
    <w:p>
      <w:r>
        <w:t>H-0981.1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1424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House Consumer Protection &amp; Business (originally sponsored by Representatives Walen, Ybarra, Springer, Simmons, Ramel, and Berg)</w:t>
      </w:r>
    </w:p>
    <w:p/>
    <w:p>
      <w:r>
        <w:rPr>
          <w:t xml:space="preserve">READ FIRST TIME 02/15/21.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consumer protection with respect to the sale of dogs and cats; and adding a new section to chapter 16.52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16</w:t>
      </w:r>
      <w:r>
        <w:rPr/>
        <w:t xml:space="preserve">.</w:t>
      </w:r>
      <w:r>
        <w:t xml:space="preserve">52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provided in this section, a retail pet store may not sell or offer for sale any dog or cat.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retail pet store that sold or offered for sale any dog prior to the effective date of this section may sell or offer for sale a dog.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018e3b20a7d4a2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1424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ff25590244757" /><Relationship Type="http://schemas.openxmlformats.org/officeDocument/2006/relationships/footer" Target="/word/footer1.xml" Id="R1018e3b20a7d4a22" /></Relationships>
</file>