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edd62779114a06" /></Relationships>
</file>

<file path=word/document.xml><?xml version="1.0" encoding="utf-8"?>
<w:document xmlns:w="http://schemas.openxmlformats.org/wordprocessingml/2006/main">
  <w:body>
    <w:p>
      <w:r>
        <w:t>H-0712.1</w:t>
      </w:r>
    </w:p>
    <w:p>
      <w:pPr>
        <w:jc w:val="center"/>
      </w:pPr>
      <w:r>
        <w:t>_______________________________________________</w:t>
      </w:r>
    </w:p>
    <w:p/>
    <w:p>
      <w:pPr>
        <w:jc w:val="center"/>
      </w:pPr>
      <w:r>
        <w:rPr>
          <w:b/>
        </w:rPr>
        <w:t>HOUSE BILL 1473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Jacobsen, Kirby, Stokesbary, Sutherland, Robertson, Chambers, Eslick, and Barkis</w:t>
      </w:r>
    </w:p>
    <w:p/>
    <w:p>
      <w:r>
        <w:rPr>
          <w:t xml:space="preserve">Read first time 02/03/21.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data centers in counties with a certain population; adding new sections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10 percent to the total cost of ownership and often runs into the millions of dollars for even mid-level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4, and 5, chapter . . . , Laws of 2021 (sections 3,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counties with a population between 900,000 and 1,000,000, as determined by the April 1, 2020, office of financial management population estimates,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counties with a population between 900,000 and 1,000,000, as determined by the April 1, 2020,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this act and expand the applicability of the tax preferences to the entire state of Washington if a review finds that the county tax base increased as a result of the construction, leasing, and other investment of computer data centers eligible for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2027.</w:t>
      </w:r>
    </w:p>
    <w:p>
      <w:pPr>
        <w:spacing w:before="0" w:after="0" w:line="408" w:lineRule="exact"/>
        <w:ind w:left="0" w:right="0" w:firstLine="576"/>
        <w:jc w:val="left"/>
      </w:pPr>
      <w:r>
        <w:rPr/>
        <w:t xml:space="preserve">(d) The exemptions provided in this section expire July 1, 2037.</w:t>
      </w:r>
    </w:p>
    <w:p>
      <w:pPr>
        <w:spacing w:before="0" w:after="0" w:line="408" w:lineRule="exact"/>
        <w:ind w:left="0" w:right="0" w:firstLine="576"/>
        <w:jc w:val="left"/>
      </w:pPr>
      <w:r>
        <w:rPr/>
        <w:t xml:space="preserve">(2)(a)(i) In order to obtain an exemption, a qualifying business must be located in a county with a population between 900,000 and 1,000,000, as determined by the April 1, 2020,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In order to obtain an exemption, a qualifying tenant must contract for a minimum electrical capacity of 150 kilowatts for server and computer equipment in a qualifying business. Tenants that previously qualified under RCW 82.08.986 or 82.12.986 must reapply if they intend to expand into a qualifying business.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exemptions provided in this section are limited to qualifying businesses or tenants, and the department is authorized to approve only two such applications to obtain the exemptions for qualifying businesses in the first year and one exemption in each year three through six.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 is based only on the space occupied by the qualifying tenant in the eligible computer data center.</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For a qualifying business or qualifying tenant that does not meet the requirements of this subsection (3), all previously exempted sales and use taxes are immediately due and payable and any exemption certificate issued to that qualifying business or qualifying tenant under this section is canceled.</w:t>
      </w:r>
    </w:p>
    <w:p>
      <w:pPr>
        <w:spacing w:before="0" w:after="0" w:line="408" w:lineRule="exact"/>
        <w:ind w:left="0" w:right="0" w:firstLine="576"/>
        <w:jc w:val="left"/>
      </w:pPr>
      <w:r>
        <w:rPr/>
        <w:t xml:space="preserve">(4)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(5)(a) A qualifying business or a qualifying tenant claiming an exemption under this section must complete an annual tax performance report as required in RCW 82.32.534.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(6)(h),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10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after 10 years after the effective date of this section, and replacement server equipment. For purposes of this subsection (6)(h)(iii),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RCW 82.12.986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(7)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3 of this act does not apply.</w:t>
      </w:r>
    </w:p>
    <w:p>
      <w:pPr>
        <w:spacing w:before="0" w:after="0" w:line="408" w:lineRule="exact"/>
        <w:ind w:left="0" w:right="0" w:firstLine="576"/>
        <w:jc w:val="left"/>
      </w:pPr>
      <w:r>
        <w:rPr/>
        <w:t xml:space="preserve">(3) The definitions and requirements in section 3 of this act apply to this section.</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section 3 of this act, a qualifying business or qualifying tenant must certify to the department that the computer data center receiving an exemption under section 3 of this act is developed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
      <w:pPr>
        <w:jc w:val="center"/>
      </w:pPr>
      <w:r>
        <w:rPr>
          <w:b/>
        </w:rPr>
        <w:t>--- END ---</w:t>
      </w:r>
    </w:p>
    <w:sectPr>
      <w:pgNumType w:start="1"/>
      <w:footerReference xmlns:r="http://schemas.openxmlformats.org/officeDocument/2006/relationships" r:id="R1234bd7107e843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a1d7f6436e46fd" /><Relationship Type="http://schemas.openxmlformats.org/officeDocument/2006/relationships/footer" Target="/word/footer1.xml" Id="R1234bd7107e84314" /></Relationships>
</file>