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b68c4a813438a" /></Relationships>
</file>

<file path=word/document.xml><?xml version="1.0" encoding="utf-8"?>
<w:document xmlns:w="http://schemas.openxmlformats.org/wordprocessingml/2006/main">
  <w:body>
    <w:p>
      <w:r>
        <w:t>H-0958.1</w:t>
      </w:r>
    </w:p>
    <w:p>
      <w:pPr>
        <w:jc w:val="center"/>
      </w:pPr>
      <w:r>
        <w:t>_______________________________________________</w:t>
      </w:r>
    </w:p>
    <w:p/>
    <w:p>
      <w:pPr>
        <w:jc w:val="center"/>
      </w:pPr>
      <w:r>
        <w:rPr>
          <w:b/>
        </w:rPr>
        <w:t>SUBSTITUTE HOUSE BILL 1480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MacEwen, Kloba, Sutherland, Robertson, Ormsby, Chambers, Eslick, and Tharinger; by request of Liquor and Cannabis Board)</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privileges granted to liquor licensees to mitigate the impact of the coronavirus pandemic; amending RCW 66.24.175, 66.24.630, and 82.08.150; adding a new section to chapter 66.08 RCW; creating new sections; making an appropriation;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 The legislature intends that these revisions at the same time continue to promote regulation of an orderly market for liquor sales while maintaining protection of public health and efficient collection of taxes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Spirits, beer, and wine restaurant licensees may sell wine by the glass or premixed wine and spirits cocktails for takeout or curbside service and for delivery. Beer and wine restaurant licensees may sell wine or premixed wine drinks by the glass for takeout or curbside service and for delivery. The board may establish by rule the manner in which wine by the glass and cocktails for off-premises consumption must be provided.</w:t>
      </w:r>
    </w:p>
    <w:p>
      <w:pPr>
        <w:spacing w:before="0" w:after="0" w:line="408" w:lineRule="exact"/>
        <w:ind w:left="0" w:right="0" w:firstLine="576"/>
        <w:jc w:val="left"/>
      </w:pPr>
      <w:r>
        <w:rPr/>
        <w:t xml:space="preserve">(5)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(6) Licensees must obtain from the board an endorsement to their license in order to conduct activities authorized under subsections (2) through (5)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(7)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(8)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(10)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board must adopt rules authorizing licensees with a delivery endorsement to photograph or scan customer identification in lieu of obtaining a physical signature to document liquor product delivery and verify the age of customers.</w:t>
      </w:r>
    </w:p>
    <w:p>
      <w:pPr>
        <w:spacing w:before="0" w:after="0" w:line="408" w:lineRule="exact"/>
        <w:ind w:left="0" w:right="0" w:firstLine="576"/>
        <w:jc w:val="left"/>
      </w:pPr>
      <w:r>
        <w:rPr/>
        <w:t xml:space="preserve">(2) The board must consider revising current rules in order to provide greater flexibility regarding food service menu requirements that businesses holding a license issued by the board under Title 66 RCW must provide in conjunction with alcohol sales. This subsection does not apply to licensees that were not required to provide food service under rules in effect on January 1, 2020. The purpose of this subsection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w:t>
      </w:r>
      <w:r>
        <w:t>((</w:t>
      </w:r>
      <w:r>
        <w:rPr>
          <w:strike/>
        </w:rPr>
        <w:t xml:space="preserve">liquor control</w:t>
      </w:r>
      <w:r>
        <w:t>))</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t>((</w:t>
      </w:r>
      <w:r>
        <w:rPr>
          <w:strike/>
        </w:rPr>
        <w:t xml:space="preserve">(f) A winery or microbrewery must have food available for customers to consume while sampling beer or wine, or must be adjacent to a vendor offering prepared food.</w:t>
      </w:r>
      <w:r>
        <w:t>))</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$150,000, or as much thereof as may be necessary, is appropriated for the fiscal biennium ending June 30, 2023, from the liquor revolving fund to the liquor and cannabis board for the purposes of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2(6)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d70e7613fc045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d191b97e9649bd" /><Relationship Type="http://schemas.openxmlformats.org/officeDocument/2006/relationships/footer" Target="/word/footer1.xml" Id="Rdd70e7613fc04540" /></Relationships>
</file>