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a28437386d470c" /></Relationships>
</file>

<file path=word/document.xml><?xml version="1.0" encoding="utf-8"?>
<w:document xmlns:w="http://schemas.openxmlformats.org/wordprocessingml/2006/main">
  <w:body>
    <w:p>
      <w:r>
        <w:t>H-0318.5</w:t>
      </w:r>
    </w:p>
    <w:p>
      <w:pPr>
        <w:jc w:val="center"/>
      </w:pPr>
      <w:r>
        <w:t>_______________________________________________</w:t>
      </w:r>
    </w:p>
    <w:p/>
    <w:p>
      <w:pPr>
        <w:jc w:val="center"/>
      </w:pPr>
      <w:r>
        <w:rPr>
          <w:b/>
        </w:rPr>
        <w:t>HOUSE BILL 1496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Senn, Walen, Davis, J. Johnson, Ramel, Bergquist, Macri, Gregerson, Simmons, Sells, Peterson, Bateman, Berry, Lekanoff, Frame, Fitzgibbon, Duerr, Hackney, Slatter, Kirby, Thai, Chopp, Valdez, Riccelli, Pollet, Ormsby, Harris-Talley, and Stonier</w:t>
      </w:r>
    </w:p>
    <w:p/>
    <w:p>
      <w:r>
        <w:rPr>
          <w:t xml:space="preserve">Read first time 02/05/21.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more progressive tax system in Washington by enacting an excise tax on sales and extraordinary profits of high valued assets; adding a new section to chapter 82.04 RCW; adding a new section to chapter 82.32 RCW; adding a new chapter to Title 82 RCW; creating new sections; and prescribing penalties.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recognizes Washington's tax system is the most regressive in the nation because it asks those making the least to pay the most as a percentage of their income. This makes household costs, like child care and food, even more burdensome. Before the COVID-19 pandemic, middle-income families in Washington paid two to four times in taxes, as a percentage of household income, as compared to top earners in the state. Low-income Washingtonians paid six times more than did our wealthiest residents.</w:t>
      </w:r>
    </w:p>
    <w:p>
      <w:pPr>
        <w:spacing w:before="0" w:after="0" w:line="408" w:lineRule="exact"/>
        <w:ind w:left="0" w:right="0" w:firstLine="576"/>
        <w:jc w:val="left"/>
      </w:pPr>
      <w:r>
        <w:rPr/>
        <w:t xml:space="preserve">Since March, this has been exacerbated as the world's wealthiest have seen their wealth increase dramatically while families struggled to pay for essentials like food and rent. In fact, billionaires have seen their wealth increase 57 percent on average throughout the pandemic. At the same time, 100,000 people in Washington have signed up for food and cash assistance, and temporary assistance for needy families has increased significantly, including doubling in some counties east of the Cascade mountains.</w:t>
      </w:r>
    </w:p>
    <w:p>
      <w:pPr>
        <w:spacing w:before="0" w:after="0" w:line="408" w:lineRule="exact"/>
        <w:ind w:left="0" w:right="0" w:firstLine="576"/>
        <w:jc w:val="left"/>
      </w:pPr>
      <w:r>
        <w:rPr/>
        <w:t xml:space="preserve">The legislature recognizes that the impact of COVID-19 to businesses has been devastating. The hospitality and leisure industry alone has lost a net of 100,000 jobs since spring. Nine months into the pandemic, employment declines are still 30 percent greater than the deepest point in the great recession a decade ago, and 7 percent of the state's workforce is collecting unemployment.</w:t>
      </w:r>
    </w:p>
    <w:p>
      <w:pPr>
        <w:spacing w:before="0" w:after="0" w:line="408" w:lineRule="exact"/>
        <w:ind w:left="0" w:right="0" w:firstLine="576"/>
        <w:jc w:val="left"/>
      </w:pPr>
      <w:r>
        <w:rPr/>
        <w:t xml:space="preserve">The child care industry, possibly the most critical infrastructure for our economic recovery, is in dire crisis, and it is costing Washington families and businesses. The lack of child care access in Washington costs businesses $2,080,000,000 a year, and working parents forgo $14,000,000,000 a year in lost wages.</w:t>
      </w:r>
    </w:p>
    <w:p>
      <w:pPr>
        <w:spacing w:before="0" w:after="0" w:line="408" w:lineRule="exact"/>
        <w:ind w:left="0" w:right="0" w:firstLine="576"/>
        <w:jc w:val="left"/>
      </w:pPr>
      <w:r>
        <w:rPr/>
        <w:t xml:space="preserve">To address the economic and child care crises in a fair and equitable way, we must invest in our child care system to sustain diverse child care businesses, ensure families can access affordable child care, and spur economic recovery.</w:t>
      </w:r>
    </w:p>
    <w:p>
      <w:pPr>
        <w:spacing w:before="0" w:after="0" w:line="408" w:lineRule="exact"/>
        <w:ind w:left="0" w:right="0" w:firstLine="576"/>
        <w:jc w:val="left"/>
      </w:pPr>
      <w:r>
        <w:rPr/>
        <w:t xml:space="preserve">The legislature finds that a tax system that is fair, balanced, and works for everyone is essential to help all Washingtonians grow and thrive. Our tax system must strengthen the middle-class economy, help low-income and middle-income families, and ask the wealthiest among us, who are benefiting the most in our economy and current tax structure, to contribute their fair share. We must ensure our tax structure is funding critical needs like behavioral health, housing for homeless and working families, feeding seniors, providing school counselors and nurses, or supporting innovation.</w:t>
      </w:r>
    </w:p>
    <w:p>
      <w:pPr>
        <w:spacing w:before="0" w:after="0" w:line="408" w:lineRule="exact"/>
        <w:ind w:left="0" w:right="0" w:firstLine="576"/>
        <w:jc w:val="left"/>
      </w:pPr>
      <w:r>
        <w:rPr/>
        <w:t xml:space="preserve">(2) The excise tax on capital gains is a tax on the one-time, voluntary sale or transfer of a capital asset, not a tax on ownership of the asset itself. This excise tax is paid only by those Washington residents who engage in such voluntary sales or transfers, and is measured by the realization of significant gain on the transaction. In order to protect against further regressive impacts of the tax system, encourage the everyday investments that Washingtonians of all income levels strive for, and support our economy, this excise tax will not apply to capital gains realized by certain sales and transfers. The legislature specifically finds and declares that the excise tax on the voluntary sale or transfer of capital assets is necessary for the support of state government and its existing institutions.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207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207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207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property" has the same meaning as in RCW 82.45.032.</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includes any portion of a day, except that a continuous period of 24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gains, less:</w:t>
      </w:r>
    </w:p>
    <w:p>
      <w:pPr>
        <w:spacing w:before="0" w:after="0" w:line="408" w:lineRule="exact"/>
        <w:ind w:left="0" w:right="0" w:firstLine="576"/>
        <w:jc w:val="left"/>
      </w:pPr>
      <w:r>
        <w:rPr/>
        <w:t xml:space="preserve">(a) $200,000; or</w:t>
      </w:r>
    </w:p>
    <w:p>
      <w:pPr>
        <w:spacing w:before="0" w:after="0" w:line="408" w:lineRule="exact"/>
        <w:ind w:left="0" w:right="0" w:firstLine="576"/>
        <w:jc w:val="left"/>
      </w:pPr>
      <w:r>
        <w:rPr/>
        <w:t xml:space="preserve">(b) $400,000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a tax is imposed on all individuals for the privilege of selling or exchanging long-term capital assets as follows:</w:t>
      </w:r>
    </w:p>
    <w:p>
      <w:pPr>
        <w:spacing w:before="0" w:after="0" w:line="408" w:lineRule="exact"/>
        <w:ind w:left="0" w:right="0" w:firstLine="576"/>
        <w:jc w:val="left"/>
      </w:pPr>
      <w:r>
        <w:rPr/>
        <w:t xml:space="preserve">(a) The tax equals seven percent multiplied by the individual's Washington capital gains on real property; and</w:t>
      </w:r>
    </w:p>
    <w:p>
      <w:pPr>
        <w:spacing w:before="0" w:after="0" w:line="408" w:lineRule="exact"/>
        <w:ind w:left="0" w:right="0" w:firstLine="576"/>
        <w:jc w:val="left"/>
      </w:pPr>
      <w:r>
        <w:rPr/>
        <w:t xml:space="preserve">(b) The tax equals 9.9 percent multiplied by the individual's Washington capital gains on all other long-term capital assets.</w:t>
      </w:r>
    </w:p>
    <w:p>
      <w:pPr>
        <w:spacing w:before="0" w:after="0" w:line="408" w:lineRule="exact"/>
        <w:ind w:left="0" w:right="0" w:firstLine="576"/>
        <w:jc w:val="left"/>
      </w:pPr>
      <w:r>
        <w:rPr/>
        <w:t xml:space="preserve">(2) If an individual's Washington capital gains equal an amount that is less than zero for a taxable year, no tax is due under this section and no such amount is allowed as a carryover for use in the calculation of that individual's adjusted capital gain, as defined in section 201(1) of this act, for any taxable year. To the extent that a loss carryforward is included in the calculation of an individual's federal net long-term capital gain, as defined in section 201(3) of this act, and that loss carryforward is directly attributable to losses from sales or exchanges allocated to this state under section 207 of this act, the loss carryforward is included in the calculation of that individual's adjusted capital gain.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(3)(a) The tax imposed in this section applies to the sale or exchange of long-term capital assets owned by the taxpayer, whether the taxpayer was the legal or a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 principal place of residence with a selling price of $5,000,000 or less. The residence must have been the individual's principal place of residence for at least 24 full months of the five years immediately preceding the sale or exchange. For the purposes of this subsection, "residence" means a single-family dwelling unit, whether such unit be separate from, or part of, a multiunit dwelling, including the land on which such dwelling unit is located. "Selling price" has the same meaning as in RCW 82.45.030;</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12 months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10 years prior to the date of the sale or exchange of the agricultural land;</w:t>
      </w:r>
    </w:p>
    <w:p>
      <w:pPr>
        <w:spacing w:before="0" w:after="0" w:line="408" w:lineRule="exact"/>
        <w:ind w:left="0" w:right="0" w:firstLine="576"/>
        <w:jc w:val="left"/>
      </w:pPr>
      <w:r>
        <w:rPr/>
        <w:t xml:space="preserve">(6) Property used in a trade or business if the property is depreciable under Title 26 U.S.C. Sec. 167 of the internal revenue code, or qualifies for expensing under Title 26 U.S.C. Sec. 179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gains derived in the taxable year from the sale of substantially all of the fair market value of the assets of, or the transfer of substantially all of the taxpayer's interest in, a qualified family-owned small business, to the extent that such adjusted capital gains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personal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50 full-time employees at any time during the 12-month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1,820 hours of employment, including paid leave, for the 12-month period described in (d)(iii)(A) of this subsection (2); and</w:t>
      </w:r>
    </w:p>
    <w:p>
      <w:pPr>
        <w:spacing w:before="0" w:after="0" w:line="408" w:lineRule="exact"/>
        <w:ind w:left="0" w:right="0" w:firstLine="576"/>
        <w:jc w:val="left"/>
      </w:pPr>
      <w:r>
        <w:rPr/>
        <w:t xml:space="preserve">(iv) That had worldwide gross revenue of $10,000,000 or less in the 12-month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Long-term capital gains or losses from the sale or exchange of tangible personal property are allocated to this state if the property was located in this state at the time of the sale or exchange. Adjusted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202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0" w:after="0" w:line="408" w:lineRule="exact"/>
        <w:ind w:left="0" w:right="0" w:firstLine="576"/>
        <w:jc w:val="left"/>
      </w:pPr>
      <w:r>
        <w:rPr/>
        <w:t xml:space="preserve">(3) If an individual's Washington capital gains include gain from the sale or exchange of real property subject to tax under section 202 of this act and chapter 82.45 RCW, a credit is allowed against the tax imposed in section 202 of this act. The credit equals the lesser of $10,000 or the amount of any real estate excise tax paid by the taxpayer pursuant to chapter 82.45 RCW on the sale or exchange of that real property multiplied by 10 percent. The amount of credit under this subsection may not exceed the total amount of tax due under this chapter, and there is no carryback or carryforward of any unused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gain or loss from the exchange of Washington capital assets for non-Washington capital assets is not recognized for federal income tax purposes because of Title 26 U.S.C. Sec. 1031 of the internal revenue code, the taxpayer must file a form prescribed by the department for the taxable year of the exchange and for each subsequent taxable year in which the gain or loss from that exchange has not been recognized for federal income tax purposes.</w:t>
      </w:r>
    </w:p>
    <w:p>
      <w:pPr>
        <w:spacing w:before="0" w:after="0" w:line="408" w:lineRule="exact"/>
        <w:ind w:left="0" w:right="0" w:firstLine="576"/>
        <w:jc w:val="left"/>
      </w:pPr>
      <w:r>
        <w:rPr/>
        <w:t xml:space="preserve">(b) The form under this subsection (1) must include:</w:t>
      </w:r>
    </w:p>
    <w:p>
      <w:pPr>
        <w:spacing w:before="0" w:after="0" w:line="408" w:lineRule="exact"/>
        <w:ind w:left="0" w:right="0" w:firstLine="576"/>
        <w:jc w:val="left"/>
      </w:pPr>
      <w:r>
        <w:rPr/>
        <w:t xml:space="preserve">(i) A description of the capital asset exchanged;</w:t>
      </w:r>
    </w:p>
    <w:p>
      <w:pPr>
        <w:spacing w:before="0" w:after="0" w:line="408" w:lineRule="exact"/>
        <w:ind w:left="0" w:right="0" w:firstLine="576"/>
        <w:jc w:val="left"/>
      </w:pPr>
      <w:r>
        <w:rPr/>
        <w:t xml:space="preserve">(ii) A description of the capital asset acquired;</w:t>
      </w:r>
    </w:p>
    <w:p>
      <w:pPr>
        <w:spacing w:before="0" w:after="0" w:line="408" w:lineRule="exact"/>
        <w:ind w:left="0" w:right="0" w:firstLine="576"/>
        <w:jc w:val="left"/>
      </w:pPr>
      <w:r>
        <w:rPr/>
        <w:t xml:space="preserve">(iii) A description of subsequent capital assets acquired pursuant to an exchange described in Title 26 U.S.C. Sec. 1031 of the internal revenue code;</w:t>
      </w:r>
    </w:p>
    <w:p>
      <w:pPr>
        <w:spacing w:before="0" w:after="0" w:line="408" w:lineRule="exact"/>
        <w:ind w:left="0" w:right="0" w:firstLine="576"/>
        <w:jc w:val="left"/>
      </w:pPr>
      <w:r>
        <w:rPr/>
        <w:t xml:space="preserve">(iv) The amount of gains not recognized because of Title 26 U.S.C. Sec. 1031 of the internal revenue code; and</w:t>
      </w:r>
    </w:p>
    <w:p>
      <w:pPr>
        <w:spacing w:before="0" w:after="0" w:line="408" w:lineRule="exact"/>
        <w:ind w:left="0" w:right="0" w:firstLine="576"/>
        <w:jc w:val="left"/>
      </w:pPr>
      <w:r>
        <w:rPr/>
        <w:t xml:space="preserve">(v) Such additional information as the department may prescribe.</w:t>
      </w:r>
    </w:p>
    <w:p>
      <w:pPr>
        <w:spacing w:before="0" w:after="0" w:line="408" w:lineRule="exact"/>
        <w:ind w:left="0" w:right="0" w:firstLine="576"/>
        <w:jc w:val="left"/>
      </w:pPr>
      <w:r>
        <w:rPr/>
        <w:t xml:space="preserve">(c) Information returns under this subsection (1) are due at the same time as capital gains tax returns are due as provided in section 209 of this act.</w:t>
      </w:r>
    </w:p>
    <w:p>
      <w:pPr>
        <w:spacing w:before="0" w:after="0" w:line="408" w:lineRule="exact"/>
        <w:ind w:left="0" w:right="0" w:firstLine="576"/>
        <w:jc w:val="left"/>
      </w:pPr>
      <w:r>
        <w:rPr/>
        <w:t xml:space="preserve">(d) An individual is not required to file information returns with the department under this subsection (1) if the individual is not subject to the tax under section 202 of this act for the taxable year of the exchange, unless the taxpayer would have been subject to the tax under section 202 of this act for the taxable year of the exchange, but for the deferral of gain on the exchange pursuant to Title 26 U.S.C. Sec. 1031 of the federal internal revenue code.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"Non-Washington capital asset" means a capital asset whose gain or loss from a sale or exchange would not be allocated to Washington under the provisions of section 207 of this act.</w:t>
      </w:r>
    </w:p>
    <w:p>
      <w:pPr>
        <w:spacing w:before="0" w:after="0" w:line="408" w:lineRule="exact"/>
        <w:ind w:left="0" w:right="0" w:firstLine="576"/>
        <w:jc w:val="left"/>
      </w:pPr>
      <w:r>
        <w:rPr/>
        <w:t xml:space="preserve">(ii) "Washington capital asset" means a capital asset whose gain or loss from a sale or exchange would be allocated to Washington under the provisions of section 207 of this act.</w:t>
      </w:r>
    </w:p>
    <w:p>
      <w:pPr>
        <w:spacing w:before="0" w:after="0" w:line="408" w:lineRule="exact"/>
        <w:ind w:left="0" w:right="0" w:firstLine="576"/>
        <w:jc w:val="left"/>
      </w:pPr>
      <w:r>
        <w:rPr/>
        <w:t xml:space="preserve">(2) A taxpayer subject to the reporting requirements of subsection (1) of this section must include any deferred gains in his or her Washington capital gains if the taxpayer must recognize those gains for federal income tax purposes, regardless of whether the transaction causing gain recognition at the federal level generates Washington capital gains. The taxpayer must include gains under this subsection (2) in the same taxable year as he or she recognized those gains for federal income tax purposes.</w:t>
      </w:r>
    </w:p>
    <w:p>
      <w:pPr>
        <w:spacing w:before="0" w:after="0" w:line="408" w:lineRule="exact"/>
        <w:ind w:left="0" w:right="0" w:firstLine="576"/>
        <w:jc w:val="left"/>
      </w:pPr>
      <w:r>
        <w:rPr/>
        <w:t xml:space="preserve">(3) If a taxpayer fails to file an information return required under subsection (1) of this section by the due date, the department may assess against the taxpayer the amount of tax due under this chapter as if the gains had not been deferred for federal income tax purposes, including interest and penalties as provided in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(c) A taxpayer must file an annual capital gains return, along with any other documents required by the department, if no tax is owed, but the taxpayer has Washington capital gains of at least $150,000, or $300,000 if filing a joint return, for the taxable year.</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214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avoid taxing the same sale or exchange under both the business and occupation tax and the capital gains tax, a credit is allowed against taxes due under this chapter on a sale or exchange that is also subject to the tax imposed under section 202 of this act. The credit is equal to the amount of tax imposed under this chapter on a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the taxes due under this chapter, for the tax reporting period in which the sale or exchange occurred. The credit claimed for a tax reporting period may not exceed the tax otherwise due under this chapter for that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created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302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2022, through June 30, 2025, the amounts received for the tax imposed under this chapter must be deposited as follows:</w:t>
      </w:r>
    </w:p>
    <w:p>
      <w:pPr>
        <w:spacing w:before="0" w:after="0" w:line="408" w:lineRule="exact"/>
        <w:ind w:left="0" w:right="0" w:firstLine="576"/>
        <w:jc w:val="left"/>
      </w:pPr>
      <w:r>
        <w:rPr/>
        <w:t xml:space="preserve">(a) Fifty percent must be deposited into the fair start for kids account created in section 101, chapter . . . (House Bill No. 1213), Laws of 2021; and</w:t>
      </w:r>
    </w:p>
    <w:p>
      <w:pPr>
        <w:spacing w:before="0" w:after="0" w:line="408" w:lineRule="exact"/>
        <w:ind w:left="0" w:right="0" w:firstLine="576"/>
        <w:jc w:val="left"/>
      </w:pPr>
      <w:r>
        <w:rPr/>
        <w:t xml:space="preserve">(b) Fifty percent must be deposited into the general fund.</w:t>
      </w:r>
    </w:p>
    <w:p>
      <w:pPr>
        <w:spacing w:before="0" w:after="0" w:line="408" w:lineRule="exact"/>
        <w:ind w:left="0" w:right="0" w:firstLine="576"/>
        <w:jc w:val="left"/>
      </w:pPr>
      <w:r>
        <w:rPr/>
        <w:t xml:space="preserve">(2) Beginning July 1, 2025, the amounts received for the tax imposed under this chapter must be deposited as follows:</w:t>
      </w:r>
    </w:p>
    <w:p>
      <w:pPr>
        <w:spacing w:before="0" w:after="0" w:line="408" w:lineRule="exact"/>
        <w:ind w:left="0" w:right="0" w:firstLine="576"/>
        <w:jc w:val="left"/>
      </w:pPr>
      <w:r>
        <w:rPr/>
        <w:t xml:space="preserve">(a) Sixty percent must be deposited into the fair start for kids account created in section 101, chapter . . . (House Bill No. 1213), Laws of 2021; and </w:t>
      </w:r>
    </w:p>
    <w:p>
      <w:pPr>
        <w:spacing w:before="0" w:after="0" w:line="408" w:lineRule="exact"/>
        <w:ind w:left="0" w:right="0" w:firstLine="576"/>
        <w:jc w:val="left"/>
      </w:pPr>
      <w:r>
        <w:rPr/>
        <w:t xml:space="preserve">(b) Forty percent must be deposited into the general fund.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201 through 213, and 216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202 of this act unconstitutional or otherwise invalid in its entirety, section 214 of this act is null and void in its entirety. Any credits previously claimed under section 214 of this act must be repaid within 30 days of the department of revenue's notice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
      <w:pPr>
        <w:jc w:val="center"/>
      </w:pPr>
      <w:r>
        <w:rPr>
          <w:b/>
        </w:rPr>
        <w:t>--- END ---</w:t>
      </w:r>
    </w:p>
    <w:sectPr>
      <w:pgNumType w:start="1"/>
      <w:footerReference xmlns:r="http://schemas.openxmlformats.org/officeDocument/2006/relationships" r:id="R4968d385687141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9cc99d861a4e19" /><Relationship Type="http://schemas.openxmlformats.org/officeDocument/2006/relationships/footer" Target="/word/footer1.xml" Id="R4968d385687141c5" /></Relationships>
</file>