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6d6b7b484f47f4" /></Relationships>
</file>

<file path=word/document.xml><?xml version="1.0" encoding="utf-8"?>
<w:document xmlns:w="http://schemas.openxmlformats.org/wordprocessingml/2006/main">
  <w:body>
    <w:p>
      <w:r>
        <w:t>H-0786.1</w:t>
      </w:r>
    </w:p>
    <w:p>
      <w:pPr>
        <w:jc w:val="center"/>
      </w:pPr>
      <w:r>
        <w:t>_______________________________________________</w:t>
      </w:r>
    </w:p>
    <w:p/>
    <w:p>
      <w:pPr>
        <w:jc w:val="center"/>
      </w:pPr>
      <w:r>
        <w:rPr>
          <w:b/>
        </w:rPr>
        <w:t>HOUSE BILL 1504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Chopp, Simmons, Berry, Davis, Valdez, Wylie, J. Johnson, Ryu, Tharinger, Taylor, Goodman, Bergquist, Ramel, Peterson, Senn, Dolan, Ormsby, Duerr, Macri, Kloba, Callan, Morgan, Stonier, Pollet, Riccelli, and Thai</w:t>
      </w:r>
    </w:p>
    <w:p/>
    <w:p>
      <w:r>
        <w:rPr>
          <w:t xml:space="preserve">Read first time 02/08/21.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workforce education investment act to invest in new and existing behavioral health workforce programs; amending RCW 28B.145.030, 43.79.195, and 82.04.299; adding a new section to chapter 28B.115 RCW; adding a new section to chapter 71.24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compelling and urgent need for coordinated investments in the state's behavioral health workforce. The demand for a qualified behavioral health workforce continues to grow as the availability of services throughout the state does not meet the need. According to the workforce training and education coordinating board's "behavioral health workforce: Barriers and solutions report," Washington ranks 31 out of the 50 states when comparing prevalence of mental illness to access to care. In addition, behavioral health needs have increased since the COVID-19 pandemic began and the need is expected to rise as economic and social hardships continue. Despite increased demand, the legislature finds that there continues to be difficulties in recruiting and retaining professionals who are adequately trained to meet behavioral health needs. Many of these professions require years of training, ranging from some postsecondary education to medical degrees. In addition, the legislature finds that there is significant variation in the geographic distribution of behavioral health providers across the state. Rural and underserved areas face disparities in access to care. High student loan debt loads, better pay, and lighter caseloads can drive behavioral health professionals into private practice or hospital-based settings rather than community-based settings which typically have a higher percentage of medicaid-funded services and higher caseloads.</w:t>
      </w:r>
    </w:p>
    <w:p>
      <w:pPr>
        <w:spacing w:before="0" w:after="0" w:line="408" w:lineRule="exact"/>
        <w:ind w:left="0" w:right="0" w:firstLine="576"/>
        <w:jc w:val="left"/>
      </w:pPr>
      <w:r>
        <w:rPr/>
        <w:t xml:space="preserve">The legislature finds that there are professions and areas within the behavioral health workforce that are most in need of state investment. The legislature intends to focus coordinated efforts and investments on these areas of greatest need including, but not limited to:</w:t>
      </w:r>
    </w:p>
    <w:p>
      <w:pPr>
        <w:spacing w:before="0" w:after="0" w:line="408" w:lineRule="exact"/>
        <w:ind w:left="0" w:right="0" w:firstLine="576"/>
        <w:jc w:val="left"/>
      </w:pPr>
      <w:r>
        <w:rPr/>
        <w:t xml:space="preserve">(1) Behavioral health apprenticeships;</w:t>
      </w:r>
    </w:p>
    <w:p>
      <w:pPr>
        <w:spacing w:before="0" w:after="0" w:line="408" w:lineRule="exact"/>
        <w:ind w:left="0" w:right="0" w:firstLine="576"/>
        <w:jc w:val="left"/>
      </w:pPr>
      <w:r>
        <w:rPr/>
        <w:t xml:space="preserve">(2) Children's mental health professionals;</w:t>
      </w:r>
    </w:p>
    <w:p>
      <w:pPr>
        <w:spacing w:before="0" w:after="0" w:line="408" w:lineRule="exact"/>
        <w:ind w:left="0" w:right="0" w:firstLine="576"/>
        <w:jc w:val="left"/>
      </w:pPr>
      <w:r>
        <w:rPr/>
        <w:t xml:space="preserve">(3) Peer counselors;</w:t>
      </w:r>
    </w:p>
    <w:p>
      <w:pPr>
        <w:spacing w:before="0" w:after="0" w:line="408" w:lineRule="exact"/>
        <w:ind w:left="0" w:right="0" w:firstLine="576"/>
        <w:jc w:val="left"/>
      </w:pPr>
      <w:r>
        <w:rPr/>
        <w:t xml:space="preserve">(4) Crisis hotline agents;</w:t>
      </w:r>
    </w:p>
    <w:p>
      <w:pPr>
        <w:spacing w:before="0" w:after="0" w:line="408" w:lineRule="exact"/>
        <w:ind w:left="0" w:right="0" w:firstLine="576"/>
        <w:jc w:val="left"/>
      </w:pPr>
      <w:r>
        <w:rPr/>
        <w:t xml:space="preserve">(5) Behavioral health residencies for professionals such as psychiatrists and pharmacists;</w:t>
      </w:r>
    </w:p>
    <w:p>
      <w:pPr>
        <w:spacing w:before="0" w:after="0" w:line="408" w:lineRule="exact"/>
        <w:ind w:left="0" w:right="0" w:firstLine="576"/>
        <w:jc w:val="left"/>
      </w:pPr>
      <w:r>
        <w:rPr/>
        <w:t xml:space="preserve">(6) Substance use disorder professionals;</w:t>
      </w:r>
    </w:p>
    <w:p>
      <w:pPr>
        <w:spacing w:before="0" w:after="0" w:line="408" w:lineRule="exact"/>
        <w:ind w:left="0" w:right="0" w:firstLine="576"/>
        <w:jc w:val="left"/>
      </w:pPr>
      <w:r>
        <w:rPr/>
        <w:t xml:space="preserve">(7) Community mental health workers; and</w:t>
      </w:r>
    </w:p>
    <w:p>
      <w:pPr>
        <w:spacing w:before="0" w:after="0" w:line="408" w:lineRule="exact"/>
        <w:ind w:left="0" w:right="0" w:firstLine="576"/>
        <w:jc w:val="left"/>
      </w:pPr>
      <w:r>
        <w:rPr/>
        <w:t xml:space="preserve">(8) Social workers.</w:t>
      </w:r>
    </w:p>
    <w:p>
      <w:pPr>
        <w:spacing w:before="0" w:after="0" w:line="408" w:lineRule="exact"/>
        <w:ind w:left="0" w:right="0" w:firstLine="576"/>
        <w:jc w:val="left"/>
      </w:pPr>
      <w:r>
        <w:rPr/>
        <w:t xml:space="preserve">The legislature also recognizes existing programs that have helped recruit, retain, and grow the behavioral health workforce, such as the Washington health corps, which provides loan repayment to behavioral health professionals, and the Washington state opportunity scholarship, which utilizes a public-private match to fund scholarships for students pursing health fields. Therefore, the legislature intends to increase the behavioral health workforce by expanding on successful existing programs, establishing new ones, and by focusing the efforts of the workforce education investment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$2,000,000, or as much thereof as may be necessary, is appropriated for the fiscal year ending June 30, 2022, from the workforce education investment account, and the sum of $2,000,000, or as much thereof as may be necessary, is appropriated for the fiscal year ending June 30, 2023, from the workforce education investment account provided solely to the student achievement council for the purposes of increasing loan repayment awards within the behavioral health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The office and the department of health shall prioritize a portion of any nonfederal balances in the health professional loan repayment and scholarship program fund for conditional loan repayment contracts for applications that reflect demographically underrepresented populations. Loan repayment contracts may include services provided in the community or at a designated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establish a behavioral health workforce pilot program and training support grants for community mental health and substance abuse treatment providers. The authority must implement these services in partnership with and through the regional accountable communities of health or the University of Washington behavioral health institute.</w:t>
      </w:r>
    </w:p>
    <w:p>
      <w:pPr>
        <w:spacing w:before="0" w:after="0" w:line="408" w:lineRule="exact"/>
        <w:ind w:left="0" w:right="0" w:firstLine="576"/>
        <w:jc w:val="left"/>
      </w:pPr>
      <w:r>
        <w:rPr/>
        <w:t xml:space="preserve">(1)(a) The intent of the pilot program is to provide incentive pay for individuals serving as clinical supervisors within community behavioral health agencies. The desired outcomes of the pilot program include increased internships and entry opportunities for new clinicians through recruitment and retention of supervisors. The authority must ensure the pilot program covers three sites serving primarily medicaid clients in both eastern and western Washington. One of the sites must specialize in the delivery of behavioral health services for medicaid enrolled children. Of the remaining two sites, one must offer substance use disorder treatment services.</w:t>
      </w:r>
    </w:p>
    <w:p>
      <w:pPr>
        <w:spacing w:before="0" w:after="0" w:line="408" w:lineRule="exact"/>
        <w:ind w:left="0" w:right="0" w:firstLine="576"/>
        <w:jc w:val="left"/>
      </w:pPr>
      <w:r>
        <w:rPr/>
        <w:t xml:space="preserve">(b) The authority must provide a report to the office of financial management and the appropriate committees of the legislature by September 30, 2023, on the outcomes of the pilot program. The report must include:</w:t>
      </w:r>
    </w:p>
    <w:p>
      <w:pPr>
        <w:spacing w:before="0" w:after="0" w:line="408" w:lineRule="exact"/>
        <w:ind w:left="0" w:right="0" w:firstLine="576"/>
        <w:jc w:val="left"/>
      </w:pPr>
      <w:r>
        <w:rPr/>
        <w:t xml:space="preserve">(i) A description of the mechanism for incentivizing supervisor pay and other strategies used at each of the sites;</w:t>
      </w:r>
    </w:p>
    <w:p>
      <w:pPr>
        <w:spacing w:before="0" w:after="0" w:line="408" w:lineRule="exact"/>
        <w:ind w:left="0" w:right="0" w:firstLine="576"/>
        <w:jc w:val="left"/>
      </w:pPr>
      <w:r>
        <w:rPr/>
        <w:t xml:space="preserve">(ii) The number of supervisors that received bonus pay at each site;</w:t>
      </w:r>
    </w:p>
    <w:p>
      <w:pPr>
        <w:spacing w:before="0" w:after="0" w:line="408" w:lineRule="exact"/>
        <w:ind w:left="0" w:right="0" w:firstLine="576"/>
        <w:jc w:val="left"/>
      </w:pPr>
      <w:r>
        <w:rPr/>
        <w:t xml:space="preserve">(iii) The number of students or prelicensure clinicians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or prelicensure clinicians who received supervision through the pilot programs that moved into a permanent position with the pilot program or another community behavioral health program in Washington state at the end of their supervision;</w:t>
      </w:r>
    </w:p>
    <w:p>
      <w:pPr>
        <w:spacing w:before="0" w:after="0" w:line="408" w:lineRule="exact"/>
        <w:ind w:left="0" w:right="0" w:firstLine="576"/>
        <w:jc w:val="left"/>
      </w:pPr>
      <w:r>
        <w:rPr/>
        <w:t xml:space="preserve">(vi) Identification of options for establishing enhancement of supervisor pay through managed care organization payments to behavioral health providers; and</w:t>
      </w:r>
    </w:p>
    <w:p>
      <w:pPr>
        <w:spacing w:before="0" w:after="0" w:line="408" w:lineRule="exact"/>
        <w:ind w:left="0" w:right="0" w:firstLine="576"/>
        <w:jc w:val="left"/>
      </w:pPr>
      <w:r>
        <w:rPr/>
        <w:t xml:space="preserve">(vii) Recommendations of individual site policy and practice implications for statewide implementation.</w:t>
      </w:r>
    </w:p>
    <w:p>
      <w:pPr>
        <w:spacing w:before="0" w:after="0" w:line="408" w:lineRule="exact"/>
        <w:ind w:left="0" w:right="0" w:firstLine="576"/>
        <w:jc w:val="left"/>
      </w:pPr>
      <w:r>
        <w:rPr/>
        <w:t xml:space="preserve">(2) The authority shall establish a grant program to mental health and substance use disorder providers that provides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 monitoring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$900,000, or as much thereof as may be necessary, is appropriated for the biennium ending June 30, 2023, from the workforce education investment account to the Washington state health care authority for the purposes of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2019 c 406 s 65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long-term funding mechanism and the short-term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w:t>
      </w:r>
      <w:r>
        <w:t>((</w:t>
      </w:r>
      <w:r>
        <w:rPr>
          <w:strike/>
        </w:rPr>
        <w:t xml:space="preserve">, except that no more than one million dollars in state match shall be deposited into the advanced degrees pathways account in a single fiscal biennium</w:t>
      </w:r>
      <w:r>
        <w:t>))</w:t>
      </w:r>
      <w:r>
        <w:rPr/>
        <w:t xml:space="preserve">;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w:t>
      </w:r>
      <w:r>
        <w:t>((</w:t>
      </w:r>
      <w:r>
        <w:rPr>
          <w:strike/>
        </w:rPr>
        <w:t xml:space="preserve">and</w:t>
      </w:r>
      <w:r>
        <w:t>))</w:t>
      </w:r>
      <w:r>
        <w:rPr/>
        <w:t xml:space="preserve"> state-funded student aid programs</w:t>
      </w:r>
      <w:r>
        <w:rPr>
          <w:u w:val="single"/>
        </w:rPr>
        <w:t xml:space="preserve">, and workforce development</w:t>
      </w:r>
      <w:r>
        <w:rPr/>
        <w:t xml:space="preserve">. </w:t>
      </w:r>
      <w:r>
        <w:t>((</w:t>
      </w:r>
      <w:r>
        <w:rPr>
          <w:strike/>
        </w:rPr>
        <w:t xml:space="preserve">For the 2019-2021 biennium, expenditures from the account may be used for kindergarten through twelfth grade if used for career connected learning as provided for in chapter 406, Laws of 2019.</w:t>
      </w:r>
      <w:r>
        <w:t>))</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2020 c 2 s 4 are each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82.04.290(2), a workforce education investment surcharge is imposed on select advanced computing businesses. 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Except as provided in (e) of this subsection (1), in no case will the combined surcharge imposed under this subsection (1) paid by all members of an affiliated group be more than </w:t>
      </w:r>
      <w:r>
        <w:t>((</w:t>
      </w:r>
      <w:r>
        <w:rPr>
          <w:strike/>
        </w:rPr>
        <w:t xml:space="preserve">nine million dollars</w:t>
      </w:r>
      <w:r>
        <w:t>))</w:t>
      </w:r>
      <w:r>
        <w:rPr/>
        <w:t xml:space="preserve"> </w:t>
      </w:r>
      <w:r>
        <w:rPr>
          <w:u w:val="single"/>
        </w:rPr>
        <w:t xml:space="preserve">$20,000,000</w:t>
      </w:r>
      <w:r>
        <w:rPr/>
        <w:t xml:space="preserve"> annually.</w:t>
      </w:r>
    </w:p>
    <w:p>
      <w:pPr>
        <w:spacing w:before="0" w:after="0" w:line="408" w:lineRule="exact"/>
        <w:ind w:left="0" w:right="0" w:firstLine="576"/>
        <w:jc w:val="left"/>
      </w:pPr>
      <w:r>
        <w:rPr/>
        <w:t xml:space="preserve">(c) For persons subject to the surcharge imposed under this subsection (1)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(1)(e), the 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p>
    <w:p>
      <w:pPr>
        <w:spacing w:before="0" w:after="0" w:line="408" w:lineRule="exact"/>
        <w:ind w:left="0" w:right="0" w:firstLine="576"/>
        <w:jc w:val="left"/>
      </w:pPr>
      <w:r>
        <w:rPr/>
        <w:t xml:space="preserve">(f)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rPr/>
        <w:t xml:space="preserve">(2) The workforce education investment surcharge under this section does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
      <w:pPr>
        <w:jc w:val="center"/>
      </w:pPr>
      <w:r>
        <w:rPr>
          <w:b/>
        </w:rPr>
        <w:t>--- END ---</w:t>
      </w:r>
    </w:p>
    <w:sectPr>
      <w:pgNumType w:start="1"/>
      <w:footerReference xmlns:r="http://schemas.openxmlformats.org/officeDocument/2006/relationships" r:id="Rb834fea7e30543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969bacd6034c3d" /><Relationship Type="http://schemas.openxmlformats.org/officeDocument/2006/relationships/footer" Target="/word/footer1.xml" Id="Rb834fea7e3054310" /></Relationships>
</file>