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5e00269454c3f" /></Relationships>
</file>

<file path=word/document.xml><?xml version="1.0" encoding="utf-8"?>
<w:document xmlns:w="http://schemas.openxmlformats.org/wordprocessingml/2006/main">
  <w:body>
    <w:p>
      <w:r>
        <w:t>H-0784.2</w:t>
      </w:r>
    </w:p>
    <w:p>
      <w:pPr>
        <w:jc w:val="center"/>
      </w:pPr>
      <w:r>
        <w:t>_______________________________________________</w:t>
      </w:r>
    </w:p>
    <w:p/>
    <w:p>
      <w:pPr>
        <w:jc w:val="center"/>
      </w:pPr>
      <w:r>
        <w:rPr>
          <w:b/>
        </w:rPr>
        <w:t>HOUSE BILL 1510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Fey, Sutherland, Eslick, and Riccelli</w:t>
      </w:r>
    </w:p>
    <w:p/>
    <w:p>
      <w:r>
        <w:rPr>
          <w:t xml:space="preserve">Read first time 02/08/21.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certain highway use requirements by nonemergency medical transportation vehicles; amending RCW 46.61.165 and 47.52.025; and adding a new section to chapter 46.16A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(2)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w:t>
      </w:r>
    </w:p>
    <w:p>
      <w:pPr>
        <w:spacing w:before="0" w:after="0" w:line="408" w:lineRule="exact"/>
        <w:ind w:left="0" w:right="0" w:firstLine="576"/>
        <w:jc w:val="left"/>
      </w:pPr>
      <w:r>
        <w:rPr/>
        <w:t xml:space="preserve">(3) For the exemption in this subsection to apply to a for hire nonemergency medical transportation vehicle, the decal:</w:t>
      </w:r>
    </w:p>
    <w:p>
      <w:pPr>
        <w:spacing w:before="0" w:after="0" w:line="408" w:lineRule="exact"/>
        <w:ind w:left="0" w:right="0" w:firstLine="576"/>
        <w:jc w:val="left"/>
      </w:pPr>
      <w:r>
        <w:rPr/>
        <w:t xml:space="preserve">(a) Must be displayed on the vehicle so that it is clearly visible from outside the vehicle;</w:t>
      </w:r>
    </w:p>
    <w:p>
      <w:pPr>
        <w:spacing w:before="0" w:after="0" w:line="408" w:lineRule="exact"/>
        <w:ind w:left="0" w:right="0" w:firstLine="576"/>
        <w:jc w:val="left"/>
      </w:pPr>
      <w:r>
        <w:rPr/>
        <w:t xml:space="preserve">(b) Must identify that the vehicle is exempt from the high occupancy vehicle requirements; and</w:t>
      </w:r>
    </w:p>
    <w:p>
      <w:pPr>
        <w:spacing w:before="0" w:after="0" w:line="408" w:lineRule="exact"/>
        <w:ind w:left="0" w:right="0" w:firstLine="576"/>
        <w:jc w:val="left"/>
      </w:pPr>
      <w:r>
        <w:rPr/>
        <w:t xml:space="preserve">(c) Must be visible from the rear of the vehicle.</w:t>
      </w:r>
    </w:p>
    <w:p>
      <w:pPr>
        <w:spacing w:before="0" w:after="0" w:line="408" w:lineRule="exact"/>
        <w:ind w:left="0" w:right="0" w:firstLine="576"/>
        <w:jc w:val="left"/>
      </w:pPr>
      <w:r>
        <w:rPr/>
        <w:t xml:space="preserve">(4)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(a) The name and address of the person who is the owner of the vehicle;</w:t>
      </w:r>
    </w:p>
    <w:p>
      <w:pPr>
        <w:spacing w:before="0" w:after="0" w:line="408" w:lineRule="exact"/>
        <w:ind w:left="0" w:right="0" w:firstLine="576"/>
        <w:jc w:val="left"/>
      </w:pPr>
      <w:r>
        <w:rPr/>
        <w:t xml:space="preserve">(b) A full description of the vehicle, including its make, model, year, and the vehicle identification number;</w:t>
      </w:r>
    </w:p>
    <w:p>
      <w:pPr>
        <w:spacing w:before="0" w:after="0" w:line="408" w:lineRule="exact"/>
        <w:ind w:left="0" w:right="0" w:firstLine="576"/>
        <w:jc w:val="left"/>
      </w:pPr>
      <w:r>
        <w:rPr/>
        <w:t xml:space="preserve">(c) The purpose for which the vehicle is principally used; and</w:t>
      </w:r>
    </w:p>
    <w:p>
      <w:pPr>
        <w:spacing w:before="0" w:after="0" w:line="408" w:lineRule="exact"/>
        <w:ind w:left="0" w:right="0" w:firstLine="576"/>
        <w:jc w:val="left"/>
      </w:pPr>
      <w:r>
        <w:rPr/>
        <w:t xml:space="preserve">(d) Other information as required by the department upon application.</w:t>
      </w:r>
    </w:p>
    <w:p>
      <w:pPr>
        <w:spacing w:before="0" w:after="0" w:line="408" w:lineRule="exact"/>
        <w:ind w:left="0" w:right="0" w:firstLine="576"/>
        <w:jc w:val="left"/>
      </w:pPr>
      <w:r>
        <w:rPr/>
        <w:t xml:space="preserve">(5) The department, county auditor or other agent, or subagent appointed by the director shall collect the fee required under subsection (6) of this section when issuing a high occupancy vehicle exempt decal.</w:t>
      </w:r>
    </w:p>
    <w:p>
      <w:pPr>
        <w:spacing w:before="0" w:after="0" w:line="408" w:lineRule="exact"/>
        <w:ind w:left="0" w:right="0" w:firstLine="576"/>
        <w:jc w:val="left"/>
      </w:pPr>
      <w:r>
        <w:rPr/>
        <w:t xml:space="preserve">(6) The department, county auditor or other agent, or subagent, is required to collect a $5 fee when issuing a decal under this section, in addition to any other fees and taxes required by law.</w:t>
      </w:r>
    </w:p>
    <w:p>
      <w:pPr>
        <w:spacing w:before="0" w:after="0" w:line="408" w:lineRule="exact"/>
        <w:ind w:left="0" w:right="0" w:firstLine="576"/>
        <w:jc w:val="left"/>
      </w:pPr>
      <w:r>
        <w:rPr/>
        <w:t xml:space="preserve">(7) A high occupancy vehicle exempt decal may not be renewed. The status as an exempt vehicle continues until suspended or revoked for misuse, or when the vehicle is no longer used as a for hire nonemergency medical transportation vehicle.</w:t>
      </w:r>
    </w:p>
    <w:p>
      <w:pPr>
        <w:spacing w:before="0" w:after="0" w:line="408" w:lineRule="exact"/>
        <w:ind w:left="0" w:right="0" w:firstLine="576"/>
        <w:jc w:val="left"/>
      </w:pPr>
      <w:r>
        <w:rPr/>
        <w:t xml:space="preserve">(8)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2019 c 467 s 3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t>((</w:t>
      </w:r>
      <w:r>
        <w:rPr>
          <w:strike/>
        </w:rPr>
        <w:t xml:space="preserve">or</w:t>
      </w:r>
      <w:r>
        <w:t>))</w:t>
      </w:r>
      <w:r>
        <w:rPr/>
        <w:t xml:space="preserve"> (d) </w:t>
      </w:r>
      <w:r>
        <w:rPr>
          <w:u w:val="single"/>
        </w:rPr>
        <w:t xml:space="preserve">for hire nonemergency medical transportation vehicles, when in use for medical purposes, as described in section 1 of this act; or (e)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A person who commits a traffic infraction under this section is also subject to additional monetary penalties as defined in this subsection. The additional monetary penalties are separate from the base penalty, fees, and assessments issued for the traffic infraction and are intended to raise awareness, and improve the efficiency, of the high occupancy vehicle lane system.</w:t>
      </w:r>
    </w:p>
    <w:p>
      <w:pPr>
        <w:spacing w:before="0" w:after="0" w:line="408" w:lineRule="exact"/>
        <w:ind w:left="0" w:right="0" w:firstLine="576"/>
        <w:jc w:val="left"/>
      </w:pPr>
      <w:r>
        <w:rPr/>
        <w:t xml:space="preserve">(a) Whenever a person commits a traffic infraction under this section, an additional monetary penalty of fifty dollars must be collected, and, in the case that a person has already committed a violation under this section within two years of committing this violation, then an additional one hundred fifty dollars must be collected.</w:t>
      </w:r>
    </w:p>
    <w:p>
      <w:pPr>
        <w:spacing w:before="0" w:after="0" w:line="408" w:lineRule="exact"/>
        <w:ind w:left="0" w:right="0" w:firstLine="576"/>
        <w:jc w:val="left"/>
      </w:pPr>
      <w:r>
        <w:rPr/>
        <w:t xml:space="preserve">(b) Any time a person commits a traffic infraction under this section and is using a dummy, doll, or other human facsimile to make it appear that an additional person is in the vehicle, the person must be assessed a two hundred dollar penalty, which is in addition to the penalties in (a) of this subsection.</w:t>
      </w:r>
    </w:p>
    <w:p>
      <w:pPr>
        <w:spacing w:before="0" w:after="0" w:line="408" w:lineRule="exact"/>
        <w:ind w:left="0" w:right="0" w:firstLine="576"/>
        <w:jc w:val="left"/>
      </w:pPr>
      <w:r>
        <w:rPr/>
        <w:t xml:space="preserve">(c) The monetary penalties under (a) and (b) of this subsection are additional, separate, and distinct penalties from the base penalty and are not subject to fees or assessments specified in RCW 46.63.110, 3.62.090, and 2.68.040.</w:t>
      </w:r>
    </w:p>
    <w:p>
      <w:pPr>
        <w:spacing w:before="0" w:after="0" w:line="408" w:lineRule="exact"/>
        <w:ind w:left="0" w:right="0" w:firstLine="576"/>
        <w:jc w:val="left"/>
      </w:pPr>
      <w:r>
        <w:rPr/>
        <w:t xml:space="preserve">(d)(i) The additional penalties collected under (a) of this subsection must be distributed as follows:</w:t>
      </w:r>
    </w:p>
    <w:p>
      <w:pPr>
        <w:spacing w:before="0" w:after="0" w:line="408" w:lineRule="exact"/>
        <w:ind w:left="0" w:right="0" w:firstLine="576"/>
        <w:jc w:val="left"/>
      </w:pPr>
      <w:r>
        <w:rPr/>
        <w:t xml:space="preserve">(A) Twenty-five percent must be deposited into the congestion relief and traffic safety account created under RCW 46.68.398; and</w:t>
      </w:r>
    </w:p>
    <w:p>
      <w:pPr>
        <w:spacing w:before="0" w:after="0" w:line="408" w:lineRule="exact"/>
        <w:ind w:left="0" w:right="0" w:firstLine="576"/>
        <w:jc w:val="left"/>
      </w:pPr>
      <w:r>
        <w:rPr/>
        <w:t xml:space="preserve">(B) Seventy-five percent must be deposited into the motor vehicle fund created under RCW 46.68.070.</w:t>
      </w:r>
    </w:p>
    <w:p>
      <w:pPr>
        <w:spacing w:before="0" w:after="0" w:line="408" w:lineRule="exact"/>
        <w:ind w:left="0" w:right="0" w:firstLine="576"/>
        <w:jc w:val="left"/>
      </w:pPr>
      <w:r>
        <w:rPr/>
        <w:t xml:space="preserve">(ii) The additional penalty collected under (b) of this subsection must be deposited into the congestion relief and traffic safety account created under RCW 46.68.398.</w:t>
      </w:r>
    </w:p>
    <w:p>
      <w:pPr>
        <w:spacing w:before="0" w:after="0" w:line="408" w:lineRule="exact"/>
        <w:ind w:left="0" w:right="0" w:firstLine="576"/>
        <w:jc w:val="left"/>
      </w:pPr>
      <w:r>
        <w:rPr/>
        <w:t xml:space="preserve">(e) Violations committed under this section are excluded from eligibility as a moving violation for driver's license suspension under RCW 46.20.289 when a person subsequently fails to respond to a notice of traffic infraction for this moving violation, fails to appear at a requested hearing for this moving violation, violates a written promise to appear in court for a notice of infraction for this moving violation, or fails to comply with the terms of a notice of traffic infraction for this moving violation.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w:t>
      </w:r>
      <w:r>
        <w:t>((</w:t>
      </w:r>
      <w:r>
        <w:rPr>
          <w:strike/>
        </w:rPr>
        <w:t xml:space="preserve">,</w:t>
      </w:r>
      <w:r>
        <w:t>))</w:t>
      </w:r>
      <w:r>
        <w:rPr>
          <w:u w:val="single"/>
        </w:rPr>
        <w:t xml:space="preserve">;</w:t>
      </w:r>
      <w:r>
        <w:rPr/>
        <w:t xml:space="preserve"> (b) privately owned buses</w:t>
      </w:r>
      <w:r>
        <w:t>((</w:t>
      </w:r>
      <w:r>
        <w:rPr>
          <w:strike/>
        </w:rPr>
        <w:t xml:space="preserve">,</w:t>
      </w:r>
      <w:r>
        <w:t>))</w:t>
      </w:r>
      <w:r>
        <w:rPr>
          <w:u w:val="single"/>
        </w:rPr>
        <w:t xml:space="preserve">;</w:t>
      </w:r>
      <w:r>
        <w:rPr/>
        <w:t xml:space="preserve"> (c) motorcycles</w:t>
      </w:r>
      <w:r>
        <w:t>((</w:t>
      </w:r>
      <w:r>
        <w:rPr>
          <w:strike/>
        </w:rPr>
        <w:t xml:space="preserve">,</w:t>
      </w:r>
      <w:r>
        <w:t>))</w:t>
      </w:r>
      <w:r>
        <w:rPr>
          <w:u w:val="single"/>
        </w:rPr>
        <w:t xml:space="preserve">;</w:t>
      </w:r>
      <w:r>
        <w:rPr/>
        <w:t xml:space="preserve"> (d) </w:t>
      </w:r>
      <w:r>
        <w:rPr>
          <w:u w:val="single"/>
        </w:rPr>
        <w:t xml:space="preserve">for hire nonemergency medical transportation vehicles, as described in section 1 of this act, when in use for medical purposes; (e)</w:t>
      </w:r>
      <w:r>
        <w:rPr/>
        <w:t xml:space="preserve"> private motor vehicles carrying not less than a specified number of passengers</w:t>
      </w:r>
      <w:r>
        <w:t>((</w:t>
      </w:r>
      <w:r>
        <w:rPr>
          <w:strike/>
        </w:rPr>
        <w:t xml:space="preserve">,</w:t>
      </w:r>
      <w:r>
        <w:t>))</w:t>
      </w:r>
      <w:r>
        <w:rPr>
          <w:u w:val="single"/>
        </w:rPr>
        <w:t xml:space="preserve">;</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c54becd9da15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734e61c6845f4" /><Relationship Type="http://schemas.openxmlformats.org/officeDocument/2006/relationships/footer" Target="/word/footer1.xml" Id="Rc54becd9da154f65" /></Relationships>
</file>