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1265c2b684856" /></Relationships>
</file>

<file path=word/document.xml><?xml version="1.0" encoding="utf-8"?>
<w:document xmlns:w="http://schemas.openxmlformats.org/wordprocessingml/2006/main">
  <w:body>
    <w:p>
      <w:r>
        <w:t>H-2225.1</w:t>
      </w:r>
    </w:p>
    <w:p>
      <w:pPr>
        <w:jc w:val="center"/>
      </w:pPr>
      <w:r>
        <w:t>_______________________________________________</w:t>
      </w:r>
    </w:p>
    <w:p/>
    <w:p>
      <w:pPr>
        <w:jc w:val="center"/>
      </w:pPr>
      <w:r>
        <w:rPr>
          <w:b/>
        </w:rPr>
        <w:t>SUBSTITUTE HOUSE BILL 1593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Leavitt, Riccelli, Ryu, Taylor, Shewmake, Chopp, Wylie, Fitzgibbon, Caldier, Wicks, Barkis, Simmons, Duerr, Ramel, Eslick, Graham, Valdez, Gregerson, Bateman, Bronoske, Davis, Fey, Gilday, Macri, Peterson, Rule, Santos, Slatter, Bergquist, Tharinger, Kloba, Pollet, Griffey, Dolan, Ormsby, Chambers, Young,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landlord mitigation program to alleviate the financial burden on victims attempting to flee domestic violence, sexual assault, unlawful harassment, or stalking; amending RCW 43.31.605, 59.18.280, 59.18.575, 59.18.575, and 43.31.615;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sexual assault, unlawful harassment, and stalking are acts of violence that have devastating effects upon individual victims, their children, their communities, and the state as a whole. These acts of violence threaten the housing stability of many residents of this state. Victims of these violent acts may be forced to remain in unsafe and abusive situations because they do not have the financial wherewithal to obtain alternate housing. It is the long-standing practice of the state to provide rental assistance to its residents in a variety of urgent situations. By this act, the legislature intends to increase safety for victims of domestic violence, sexual assault, unlawful harassment, and stalking by removing some of the financial barriers to safely obtaining alternate housing and thereby contribute to the general welfare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t>((</w:t>
      </w:r>
      <w:r>
        <w:rPr>
          <w:strike/>
        </w:rPr>
        <w:t xml:space="preserve">(b) The following types of claims related to landlord mitigation for</w:t>
      </w:r>
      <w:r>
        <w:t>))</w:t>
      </w:r>
      <w:r>
        <w:rPr/>
        <w:t xml:space="preserve"> </w:t>
      </w:r>
      <w:r>
        <w:rPr>
          <w:u w:val="single"/>
        </w:rPr>
        <w:t xml:space="preserve">The following types of claims related to landlord mitigation are eligible for reimbursement from the landlord mitigation program account:</w:t>
      </w:r>
    </w:p>
    <w:p>
      <w:pPr>
        <w:spacing w:before="0" w:after="0" w:line="408" w:lineRule="exact"/>
        <w:ind w:left="0" w:right="0" w:firstLine="576"/>
        <w:jc w:val="left"/>
      </w:pPr>
      <w:r>
        <w:rPr>
          <w:u w:val="single"/>
        </w:rPr>
        <w:t xml:space="preserve">(a) Claims relating to</w:t>
      </w:r>
      <w:r>
        <w:rPr/>
        <w:t xml:space="preserve"> renting private market rental units to low-income tenants using a housing subsidy program </w:t>
      </w:r>
      <w:r>
        <w:t>((</w:t>
      </w:r>
      <w:r>
        <w:rPr>
          <w:strike/>
        </w:rPr>
        <w:t xml:space="preserve">are eligible for reimbursement from the landlord mitigation program account</w:t>
      </w:r>
      <w:r>
        <w:t>))</w:t>
      </w:r>
      <w:r>
        <w:rPr/>
        <w:t xml:space="preserve"> </w:t>
      </w:r>
      <w:r>
        <w:rPr>
          <w:u w:val="single"/>
        </w:rPr>
        <w:t xml:space="preserve">for</w:t>
      </w:r>
      <w:r>
        <w:rPr/>
        <w:t xml:space="preserve">:</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w:t>
      </w:r>
      <w:r>
        <w:t>((</w:t>
      </w:r>
      <w:r>
        <w:rPr>
          <w:strike/>
        </w:rPr>
        <w:t xml:space="preserve">(b)</w:t>
      </w:r>
      <w:r>
        <w:t>))</w:t>
      </w:r>
      <w:r>
        <w:rPr/>
        <w:t xml:space="preserve"> </w:t>
      </w:r>
      <w:r>
        <w:rPr>
          <w:u w:val="single"/>
        </w:rPr>
        <w:t xml:space="preserve">(a)</w:t>
      </w:r>
      <w:r>
        <w:rPr/>
        <w:t xml:space="preserve">(i), the landlord must pay for the first five hundred dollars for improvements, and rent to the tenant whose housing subsidy program was conditioned on the real property passing inspection. Reimbursement under this subsection (1)</w:t>
      </w:r>
      <w:r>
        <w:t>((</w:t>
      </w:r>
      <w:r>
        <w:rPr>
          <w:strike/>
        </w:rPr>
        <w:t xml:space="preserve">(b)</w:t>
      </w:r>
      <w:r>
        <w:t>))</w:t>
      </w:r>
      <w:r>
        <w:rPr/>
        <w:t xml:space="preserve"> </w:t>
      </w:r>
      <w:r>
        <w:rPr>
          <w:u w:val="single"/>
        </w:rPr>
        <w:t xml:space="preserve">(a)</w:t>
      </w:r>
      <w:r>
        <w:rPr/>
        <w:t xml:space="preserve">(i)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w:t>
      </w:r>
      <w:r>
        <w:t>((</w:t>
      </w:r>
      <w:r>
        <w:rPr>
          <w:strike/>
        </w:rPr>
        <w:t xml:space="preserve">(c)</w:t>
      </w:r>
      <w:r>
        <w:t>))</w:t>
      </w:r>
      <w:r>
        <w:rPr/>
        <w:t xml:space="preserve"> </w:t>
      </w:r>
      <w:r>
        <w:rPr>
          <w:u w:val="single"/>
        </w:rPr>
        <w:t xml:space="preserve">(b)</w:t>
      </w:r>
      <w:r>
        <w:rPr/>
        <w:t xml:space="preserve">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w:t>
      </w:r>
      <w:r>
        <w:t>((</w:t>
      </w:r>
      <w:r>
        <w:rPr>
          <w:strike/>
        </w:rPr>
        <w:t xml:space="preserve">(c)</w:t>
      </w:r>
      <w:r>
        <w:t>))</w:t>
      </w:r>
      <w:r>
        <w:rPr/>
        <w:t xml:space="preserve"> </w:t>
      </w:r>
      <w:r>
        <w:rPr>
          <w:u w:val="single"/>
        </w:rPr>
        <w:t xml:space="preserve">(b)</w:t>
      </w:r>
      <w:r>
        <w:rPr/>
        <w:t xml:space="preserve">(iii) of this subsection; (F) a description of the consequences if the tenant does not reimburse the department as provided in this subsection (1)</w:t>
      </w:r>
      <w:r>
        <w:t>((</w:t>
      </w:r>
      <w:r>
        <w:rPr>
          <w:strike/>
        </w:rPr>
        <w:t xml:space="preserve">(c)</w:t>
      </w:r>
      <w:r>
        <w:t>))</w:t>
      </w:r>
      <w:r>
        <w:rPr/>
        <w:t xml:space="preserve"> </w:t>
      </w:r>
      <w:r>
        <w:rPr>
          <w:u w:val="single"/>
        </w:rPr>
        <w:t xml:space="preserve">(b)</w:t>
      </w:r>
      <w:r>
        <w:rPr/>
        <w:t xml:space="preserve">;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w:t>
      </w:r>
      <w:r>
        <w:t>((</w:t>
      </w:r>
      <w:r>
        <w:rPr>
          <w:strike/>
        </w:rPr>
        <w:t xml:space="preserve">(c)</w:t>
      </w:r>
      <w:r>
        <w:t>))</w:t>
      </w:r>
      <w:r>
        <w:rPr/>
        <w:t xml:space="preserve"> </w:t>
      </w:r>
      <w:r>
        <w:rPr>
          <w:u w:val="single"/>
        </w:rPr>
        <w:t xml:space="preserve">(b)</w:t>
      </w:r>
      <w:r>
        <w:rPr/>
        <w:t xml:space="preserve">,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w:t>
      </w:r>
      <w:r>
        <w:t>((</w:t>
      </w:r>
      <w:r>
        <w:rPr>
          <w:strike/>
        </w:rPr>
        <w:t xml:space="preserve">(c)</w:t>
      </w:r>
      <w:r>
        <w:t>))</w:t>
      </w:r>
      <w:r>
        <w:rPr/>
        <w:t xml:space="preserve"> </w:t>
      </w:r>
      <w:r>
        <w:rPr>
          <w:u w:val="single"/>
        </w:rPr>
        <w:t xml:space="preserve">(b)</w:t>
      </w:r>
      <w:r>
        <w:rPr/>
        <w:t xml:space="preserve">.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w:t>
      </w:r>
      <w:r>
        <w:t>((</w:t>
      </w:r>
      <w:r>
        <w:rPr>
          <w:strike/>
        </w:rPr>
        <w:t xml:space="preserve">(c)</w:t>
      </w:r>
      <w:r>
        <w:t>))</w:t>
      </w:r>
      <w:r>
        <w:rPr/>
        <w:t xml:space="preserve"> </w:t>
      </w:r>
      <w:r>
        <w:rPr>
          <w:u w:val="single"/>
        </w:rPr>
        <w:t xml:space="preserve">(b)</w:t>
      </w:r>
      <w:r>
        <w:rPr/>
        <w:t xml:space="preserve">,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Claims related to </w:t>
      </w:r>
      <w:r>
        <w:t>((</w:t>
      </w:r>
      <w:r>
        <w:rPr>
          <w:strike/>
        </w:rPr>
        <w:t xml:space="preserve">landlord mitigation</w:t>
      </w:r>
      <w:r>
        <w:t>))</w:t>
      </w:r>
      <w:r>
        <w:rPr/>
        <w:t xml:space="preserve"> </w:t>
      </w:r>
      <w:r>
        <w:rPr>
          <w:u w:val="single"/>
        </w:rPr>
        <w:t xml:space="preserve">unpaid rent</w:t>
      </w:r>
      <w:r>
        <w:rPr/>
        <w:t xml:space="preserve">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w:t>
      </w:r>
      <w:r>
        <w:t>((</w:t>
      </w:r>
      <w:r>
        <w:rPr>
          <w:strike/>
        </w:rPr>
        <w:t xml:space="preserve">(d)</w:t>
      </w:r>
      <w:r>
        <w:t>))</w:t>
      </w:r>
      <w:r>
        <w:rPr/>
        <w:t xml:space="preserve"> </w:t>
      </w:r>
      <w:r>
        <w:rPr>
          <w:u w:val="single"/>
        </w:rPr>
        <w:t xml:space="preserve">(c)</w:t>
      </w:r>
      <w:r>
        <w:rPr/>
        <w:t xml:space="preserve">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w:t>
      </w:r>
      <w:r>
        <w:t>((</w:t>
      </w:r>
      <w:r>
        <w:rPr>
          <w:strike/>
        </w:rPr>
        <w:t xml:space="preserve">(d)</w:t>
      </w:r>
      <w:r>
        <w:t>))</w:t>
      </w:r>
      <w:r>
        <w:rPr/>
        <w:t xml:space="preserve"> </w:t>
      </w:r>
      <w:r>
        <w:rPr>
          <w:u w:val="single"/>
        </w:rPr>
        <w:t xml:space="preserve">(c)</w:t>
      </w:r>
      <w:r>
        <w:rPr/>
        <w:t xml:space="preserve">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u w:val="single"/>
        </w:rPr>
        <w:t xml:space="preserve">(d)(i) Claims, up to $5,000, related to landlord mitigation for damages to rental property when:</w:t>
      </w:r>
    </w:p>
    <w:p>
      <w:pPr>
        <w:spacing w:before="0" w:after="0" w:line="408" w:lineRule="exact"/>
        <w:ind w:left="0" w:right="0" w:firstLine="576"/>
        <w:jc w:val="left"/>
      </w:pPr>
      <w:r>
        <w:rPr>
          <w:u w:val="single"/>
        </w:rPr>
        <w:t xml:space="preserve">(A) A tenant has terminated a rental agreement pursuant to RCW 59.18.575;</w:t>
      </w:r>
    </w:p>
    <w:p>
      <w:pPr>
        <w:spacing w:before="0" w:after="0" w:line="408" w:lineRule="exact"/>
        <w:ind w:left="0" w:right="0" w:firstLine="576"/>
        <w:jc w:val="left"/>
      </w:pPr>
      <w:r>
        <w:rPr>
          <w:u w:val="single"/>
        </w:rPr>
        <w:t xml:space="preserve">(B) The property has sustained damage beyond wear resulting from ordinary use of the premises;</w:t>
      </w:r>
    </w:p>
    <w:p>
      <w:pPr>
        <w:spacing w:before="0" w:after="0" w:line="408" w:lineRule="exact"/>
        <w:ind w:left="0" w:right="0" w:firstLine="576"/>
        <w:jc w:val="left"/>
      </w:pPr>
      <w:r>
        <w:rPr>
          <w:u w:val="single"/>
        </w:rPr>
        <w:t xml:space="preserve">(C) The landlord has, within the time limits specified in RCW 59.18.280, provided the tenant with a full and specific statement;</w:t>
      </w:r>
    </w:p>
    <w:p>
      <w:pPr>
        <w:spacing w:before="0" w:after="0" w:line="408" w:lineRule="exact"/>
        <w:ind w:left="0" w:right="0" w:firstLine="576"/>
        <w:jc w:val="left"/>
      </w:pPr>
      <w:r>
        <w:rPr>
          <w:u w:val="single"/>
        </w:rPr>
        <w:t xml:space="preserve">(D) The landlord has, rather than retaining any of the damage deposit, returned the full damage deposit to the tenant; and</w:t>
      </w:r>
    </w:p>
    <w:p>
      <w:pPr>
        <w:spacing w:before="0" w:after="0" w:line="408" w:lineRule="exact"/>
        <w:ind w:left="0" w:right="0" w:firstLine="576"/>
        <w:jc w:val="left"/>
      </w:pPr>
      <w:r>
        <w:rPr>
          <w:u w:val="single"/>
        </w:rPr>
        <w:t xml:space="preserve">(E) The landlord has agreed not to proceed against the tenant to recover the balance owed.</w:t>
      </w:r>
    </w:p>
    <w:p>
      <w:pPr>
        <w:spacing w:before="0" w:after="0" w:line="408" w:lineRule="exact"/>
        <w:ind w:left="0" w:right="0" w:firstLine="576"/>
        <w:jc w:val="left"/>
      </w:pPr>
      <w:r>
        <w:rPr>
          <w:u w:val="single"/>
        </w:rPr>
        <w:t xml:space="preserve">(ii) Any claim for reimbursement under this subsection (1)(d) is not an entitlement.</w:t>
      </w:r>
    </w:p>
    <w:p>
      <w:pPr>
        <w:spacing w:before="0" w:after="0" w:line="408" w:lineRule="exact"/>
        <w:ind w:left="0" w:right="0" w:firstLine="576"/>
        <w:jc w:val="left"/>
      </w:pPr>
      <w:r>
        <w:rPr>
          <w:u w:val="single"/>
        </w:rPr>
        <w:t xml:space="preserve">(iii) If at any time funds do not exist in the landlord mitigation program account to reimburse claims submitted under this subsection (1)(d), the department must create and maintain a waitlist and distribute funds in the order the claims are received pursuant to subsection (6) of this section. Payment of any claims on the waitlist shall be made only from the landlord mitigation program account. The department is not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(iv) The department shall provide for a form on its website for landlords to apply for reimbursement funds for the landlord pursuant to this subsection (1)(d).</w:t>
      </w:r>
    </w:p>
    <w:p>
      <w:pPr>
        <w:spacing w:before="0" w:after="0" w:line="408" w:lineRule="exact"/>
        <w:ind w:left="0" w:right="0" w:firstLine="576"/>
        <w:jc w:val="left"/>
      </w:pPr>
      <w:r>
        <w:rPr>
          <w:u w:val="single"/>
        </w:rPr>
        <w:t xml:space="preserve">(v) The department shall provide for the confidentiality of tenants' personal information and shall have such rule-making authority as is necessary to protect the personal information of tenants under this subsection (1)(d).</w:t>
      </w:r>
    </w:p>
    <w:p>
      <w:pPr>
        <w:spacing w:before="0" w:after="0" w:line="408" w:lineRule="exact"/>
        <w:ind w:left="0" w:right="0" w:firstLine="576"/>
        <w:jc w:val="left"/>
      </w:pPr>
      <w:r>
        <w:rPr/>
        <w:t xml:space="preserve">(2) In order for a claim under subsection (1)</w:t>
      </w:r>
      <w:r>
        <w:t>((</w:t>
      </w:r>
      <w:r>
        <w:rPr>
          <w:strike/>
        </w:rPr>
        <w:t xml:space="preserve">(b)</w:t>
      </w:r>
      <w:r>
        <w:t>))</w:t>
      </w:r>
      <w:r>
        <w:rPr/>
        <w:t xml:space="preserve"> </w:t>
      </w:r>
      <w:r>
        <w:rPr>
          <w:u w:val="single"/>
        </w:rPr>
        <w:t xml:space="preserve">(a)</w:t>
      </w:r>
      <w:r>
        <w:rPr/>
        <w:t xml:space="preserve">(iii) </w:t>
      </w:r>
      <w:r>
        <w:rPr>
          <w:u w:val="single"/>
        </w:rPr>
        <w:t xml:space="preserve">or (d)</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w:t>
      </w:r>
      <w:r>
        <w:rPr>
          <w:u w:val="single"/>
        </w:rPr>
        <w:t xml:space="preserve">(a)</w:t>
      </w:r>
      <w:r>
        <w:rPr/>
        <w:t xml:space="preserve"> The department shall make reasonable efforts to review a claim within ten business days from the date it received properly submitted and complete claims to the satisfaction of the department.</w:t>
      </w:r>
    </w:p>
    <w:p>
      <w:pPr>
        <w:spacing w:before="0" w:after="0" w:line="408" w:lineRule="exact"/>
        <w:ind w:left="0" w:right="0" w:firstLine="576"/>
        <w:jc w:val="left"/>
      </w:pPr>
      <w:r>
        <w:rPr>
          <w:u w:val="single"/>
        </w:rPr>
        <w:t xml:space="preserve">(b)</w:t>
      </w:r>
      <w:r>
        <w:rPr/>
        <w:t xml:space="preserve"> In reviewing a claim pursuant to subsection (1)</w:t>
      </w:r>
      <w:r>
        <w:t>((</w:t>
      </w:r>
      <w:r>
        <w:rPr>
          <w:strike/>
        </w:rPr>
        <w:t xml:space="preserve">(b)</w:t>
      </w:r>
      <w:r>
        <w:t>))</w:t>
      </w:r>
      <w:r>
        <w:rPr/>
        <w:t xml:space="preserve"> </w:t>
      </w:r>
      <w:r>
        <w:rPr>
          <w:u w:val="single"/>
        </w:rPr>
        <w:t xml:space="preserve">(a)</w:t>
      </w:r>
      <w:r>
        <w:rPr/>
        <w:t xml:space="preserve">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u w:val="single"/>
        </w:rPr>
        <w:t xml:space="preserve">(c) In reviewing a claim pursuant to subsection (1)(d)(i) of this section, and determining eligibility for reimbursement, the department must receive documentation, acceptable to the department in its sole discretion, that the claim involves a tenancy that was terminated pursuant to RCW 59.18.575 and that all of the requirements of subsection (1)(d)(i) of this section have been met.</w:t>
      </w:r>
    </w:p>
    <w:p>
      <w:pPr>
        <w:spacing w:before="0" w:after="0" w:line="408" w:lineRule="exact"/>
        <w:ind w:left="0" w:right="0" w:firstLine="576"/>
        <w:jc w:val="left"/>
      </w:pPr>
      <w:r>
        <w:rPr/>
        <w:t xml:space="preserve">(4) Claims pursuant to subsection (1)</w:t>
      </w:r>
      <w:r>
        <w:t>((</w:t>
      </w:r>
      <w:r>
        <w:rPr>
          <w:strike/>
        </w:rPr>
        <w:t xml:space="preserve">(b)</w:t>
      </w:r>
      <w:r>
        <w:t>))</w:t>
      </w:r>
      <w:r>
        <w:rPr/>
        <w:t xml:space="preserve"> </w:t>
      </w:r>
      <w:r>
        <w:rPr>
          <w:u w:val="single"/>
        </w:rPr>
        <w:t xml:space="preserve">(a)</w:t>
      </w:r>
      <w:r>
        <w:rPr/>
        <w:t xml:space="preserve">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w:t>
      </w:r>
      <w:r>
        <w:t>((</w:t>
      </w:r>
      <w:r>
        <w:rPr>
          <w:strike/>
        </w:rPr>
        <w:t xml:space="preserve">(b)</w:t>
      </w:r>
      <w:r>
        <w:t>))</w:t>
      </w:r>
      <w:r>
        <w:rPr/>
        <w:t xml:space="preserve"> </w:t>
      </w:r>
      <w:r>
        <w:rPr>
          <w:u w:val="single"/>
        </w:rPr>
        <w:t xml:space="preserve">(a) or (d)</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(b)</w:t>
      </w:r>
      <w:r>
        <w:t>))</w:t>
      </w:r>
      <w:r>
        <w:rPr/>
        <w:t xml:space="preserve"> </w:t>
      </w:r>
      <w:r>
        <w:rPr>
          <w:u w:val="single"/>
        </w:rPr>
        <w:t xml:space="preserve">(a)</w:t>
      </w:r>
      <w:r>
        <w:rPr/>
        <w:t xml:space="preserve">(iii)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 </w:t>
      </w:r>
      <w:r>
        <w:rPr>
          <w:u w:val="single"/>
        </w:rPr>
        <w:t xml:space="preserve">and</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w:t>
      </w:r>
      <w:r>
        <w:t>((</w:t>
      </w:r>
      <w:r>
        <w:rPr>
          <w:strike/>
        </w:rPr>
        <w:t xml:space="preserve">private market</w:t>
      </w:r>
      <w:r>
        <w:t>))</w:t>
      </w:r>
      <w:r>
        <w:rPr/>
        <w:t xml:space="preserve">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 </w:t>
      </w:r>
      <w:r>
        <w:rPr>
          <w:u w:val="single"/>
        </w:rPr>
        <w:t xml:space="preserve">This definition only applies to claims for mitigation under subsection (1)(a) of this section and does not exclude public housing agencies from making claims under subsection (1)(b), (c), or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w:t>
      </w:r>
      <w:r>
        <w:rPr>
          <w:u w:val="single"/>
        </w:rPr>
        <w:t xml:space="preserve">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2021 c 215 s 155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domestic violence protection order, sexual assault protection order, stalking protection order, or antiharassment protection order under chapter 7.105 RCW, or a valid order for protection under one or more of the following: Chapter 26.26A or 26.26B RCW, or any of the former chapters 7.90 and 26.50 RCW, or RCW 9A.46.040, 9A.46.050, 10.99.040 (2) or (3), or 26.09.050, or former RCW 10.14.080;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7.105.010.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2021 c 115 s 6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w:t>
      </w:r>
      <w:r>
        <w:t>((</w:t>
      </w:r>
      <w:r>
        <w:rPr>
          <w:strike/>
        </w:rPr>
        <w:t xml:space="preserve">(c)</w:t>
      </w:r>
      <w:r>
        <w:t>))</w:t>
      </w:r>
      <w:r>
        <w:rPr/>
        <w:t xml:space="preserve"> </w:t>
      </w:r>
      <w:r>
        <w:rPr>
          <w:u w:val="single"/>
        </w:rPr>
        <w:t xml:space="preserve">(b)</w:t>
      </w:r>
      <w:r>
        <w:rPr/>
        <w:t xml:space="preserve">, for any unpaid rent as described in RCW 43.31.605(1)</w:t>
      </w:r>
      <w:r>
        <w:t>((</w:t>
      </w:r>
      <w:r>
        <w:rPr>
          <w:strike/>
        </w:rPr>
        <w:t xml:space="preserve">(d)</w:t>
      </w:r>
      <w:r>
        <w:t>))</w:t>
      </w:r>
      <w:r>
        <w:rPr/>
        <w:t xml:space="preserve"> </w:t>
      </w:r>
      <w:r>
        <w:rPr>
          <w:u w:val="single"/>
        </w:rPr>
        <w:t xml:space="preserve">(c)</w:t>
      </w:r>
      <w:r>
        <w:rPr/>
        <w:t xml:space="preserve">, </w:t>
      </w:r>
      <w:r>
        <w:rPr>
          <w:u w:val="single"/>
        </w:rPr>
        <w:t xml:space="preserve">for any damages to rental property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(3) Funds deposited into the landlord mitigation program account shall be prioritized by the department for allowable costs under RCW 43.31.605(1)</w:t>
      </w:r>
      <w:r>
        <w:t>((</w:t>
      </w:r>
      <w:r>
        <w:rPr>
          <w:strike/>
        </w:rPr>
        <w:t xml:space="preserve">(b)</w:t>
      </w:r>
      <w:r>
        <w:t>))</w:t>
      </w:r>
      <w:r>
        <w:rPr/>
        <w:t xml:space="preserve"> </w:t>
      </w:r>
      <w:r>
        <w:rPr>
          <w:u w:val="single"/>
        </w:rPr>
        <w:t xml:space="preserve">(a) and (d)</w:t>
      </w:r>
      <w:r>
        <w:rPr/>
        <w:t xml:space="preserve">, and may only be used for other allowable costs when funding available in the account exceeds the amount needed to pay claims under RCW 43.31.605(1)</w:t>
      </w:r>
      <w:r>
        <w:t>((</w:t>
      </w:r>
      <w:r>
        <w:rPr>
          <w:strike/>
        </w:rPr>
        <w:t xml:space="preserve">(b)</w:t>
      </w:r>
      <w:r>
        <w:t>))</w:t>
      </w:r>
      <w:r>
        <w:rPr/>
        <w:t xml:space="preserve"> </w:t>
      </w:r>
      <w:r>
        <w:rPr>
          <w:u w:val="single"/>
        </w:rPr>
        <w:t xml:space="preserve">(a) and (d)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
      <w:pPr>
        <w:jc w:val="center"/>
      </w:pPr>
      <w:r>
        <w:rPr>
          <w:b/>
        </w:rPr>
        <w:t>--- END ---</w:t>
      </w:r>
    </w:p>
    <w:sectPr>
      <w:pgNumType w:start="1"/>
      <w:footerReference xmlns:r="http://schemas.openxmlformats.org/officeDocument/2006/relationships" r:id="R0ad112fe90ad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7d1a89a8742e0" /><Relationship Type="http://schemas.openxmlformats.org/officeDocument/2006/relationships/footer" Target="/word/footer1.xml" Id="R0ad112fe90ad4bdb" /></Relationships>
</file>