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9cfe65c914a2f" /></Relationships>
</file>

<file path=word/document.xml><?xml version="1.0" encoding="utf-8"?>
<w:document xmlns:w="http://schemas.openxmlformats.org/wordprocessingml/2006/main">
  <w:body>
    <w:p>
      <w:r>
        <w:t>H-2244.1</w:t>
      </w:r>
    </w:p>
    <w:p>
      <w:pPr>
        <w:jc w:val="center"/>
      </w:pPr>
      <w:r>
        <w:t>_______________________________________________</w:t>
      </w:r>
    </w:p>
    <w:p/>
    <w:p>
      <w:pPr>
        <w:jc w:val="center"/>
      </w:pPr>
      <w:r>
        <w:rPr>
          <w:b/>
        </w:rPr>
        <w:t>SUBSTITUTE HOUSE BILL 1616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Simmons, Cody, Bateman, Valdez, Davis, Macri, Slatter, Pollet, and Taylor; by request of Attorney General)</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charity care act; amending RCW 70.170.020 and 70.170.060;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whose income is not more than 400 percent of the federal poverty level, adjusted for family size, and who have exhausted any third-party coverage.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r>
        <w:t>))</w:t>
      </w:r>
      <w:r>
        <w:rPr/>
        <w:t xml:space="preserve"> </w:t>
      </w:r>
      <w:r>
        <w:rPr>
          <w:u w:val="single"/>
        </w:rPr>
        <w:t xml:space="preserve">charity care. The policy shall include procedures for identifying patients </w:t>
      </w:r>
      <w:r>
        <w:rPr>
          <w:u w:val="single"/>
        </w:rPr>
        <w:t xml:space="preserve">who may be eligible for health care coverage through medical assistance programs under chapter 74.09 RCW or the Washington health benefit exchange and actively assisting patients to apply for any available coverage. A hospital is not obligated to provide charity care under this section to any patient or patient's guarantor if the hospital has identified the patient as potentially eligible for retroactive health care coverage through medical assistance programs under chapter 74.09 RCW and the patient or the patient's guarantor refuses to apply for such coverage. </w:t>
      </w:r>
    </w:p>
    <w:p>
      <w:pPr>
        <w:spacing w:before="0" w:after="0" w:line="408" w:lineRule="exact"/>
        <w:ind w:left="0" w:right="0" w:firstLine="576"/>
        <w:jc w:val="left"/>
      </w:pPr>
      <w:r>
        <w:rPr>
          <w:u w:val="single"/>
        </w:rPr>
        <w:t xml:space="preserve">(a) At a minimum, an acute care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t>
      </w:r>
      <w:r>
        <w:rPr>
          <w:u w:val="single"/>
        </w:rPr>
        <w:t xml:space="preserve">which may be reduced by amounts reasonably related to assets considered pursuant to (c) of this subsection.</w:t>
      </w:r>
    </w:p>
    <w:p>
      <w:pPr>
        <w:spacing w:before="0" w:after="0" w:line="408" w:lineRule="exact"/>
        <w:ind w:left="0" w:right="0" w:firstLine="576"/>
        <w:jc w:val="left"/>
      </w:pPr>
      <w:r>
        <w:rPr>
          <w:u w:val="single"/>
        </w:rPr>
        <w:t xml:space="preserve">(b) At a minimum, a hospital not subject to (a) of this subsection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201 and 300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301 and 350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u w:val="single"/>
        </w:rPr>
        <w:t xml:space="preserve">(iv) All patients and their guarantors whose income is between 351 and 400 percent of the federal poverty level, adjusted for family size, shall be entitled to a 25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u w:val="single"/>
        </w:rPr>
        <w:t xml:space="preserve">(ii) If a hospital considers assets, the following types of assets shall be excluded from consideration:</w:t>
      </w:r>
    </w:p>
    <w:p>
      <w:pPr>
        <w:spacing w:before="0" w:after="0" w:line="408" w:lineRule="exact"/>
        <w:ind w:left="0" w:right="0" w:firstLine="576"/>
        <w:jc w:val="left"/>
      </w:pPr>
      <w:r>
        <w:rPr>
          <w:u w:val="single"/>
        </w:rPr>
        <w:t xml:space="preserve">(A) At a minimum, the first $5,000 of monetary assets;</w:t>
      </w:r>
    </w:p>
    <w:p>
      <w:pPr>
        <w:spacing w:before="0" w:after="0" w:line="408" w:lineRule="exact"/>
        <w:ind w:left="0" w:right="0" w:firstLine="576"/>
        <w:jc w:val="left"/>
      </w:pPr>
      <w:r>
        <w:rPr>
          <w:u w:val="single"/>
        </w:rPr>
        <w:t xml:space="preserve">(B) Any equity in a primary residence;</w:t>
      </w:r>
    </w:p>
    <w:p>
      <w:pPr>
        <w:spacing w:before="0" w:after="0" w:line="408" w:lineRule="exact"/>
        <w:ind w:left="0" w:right="0" w:firstLine="576"/>
        <w:jc w:val="left"/>
      </w:pPr>
      <w:r>
        <w:rPr>
          <w:u w:val="single"/>
        </w:rPr>
        <w:t xml:space="preserve">(C) Retirement plans other than 401(k) plans; and</w:t>
      </w:r>
    </w:p>
    <w:p>
      <w:pPr>
        <w:spacing w:before="0" w:after="0" w:line="408" w:lineRule="exact"/>
        <w:ind w:left="0" w:right="0" w:firstLine="576"/>
        <w:jc w:val="left"/>
      </w:pPr>
      <w:r>
        <w:rPr>
          <w:u w:val="single"/>
        </w:rPr>
        <w:t xml:space="preserve">(D) One motor vehicle used for the transportation needs of the patient or any family member of the patient.</w:t>
      </w:r>
    </w:p>
    <w:p>
      <w:pPr>
        <w:spacing w:before="0" w:after="0" w:line="408" w:lineRule="exact"/>
        <w:ind w:left="0" w:right="0" w:firstLine="576"/>
        <w:jc w:val="left"/>
      </w:pPr>
      <w:r>
        <w:rPr>
          <w:u w:val="single"/>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u w:val="single"/>
        </w:rPr>
        <w:t xml:space="preserve">(A) In considering monetary assets, one current account statement shall be considered sufficient for a hospital to verify a patient asset.</w:t>
      </w:r>
    </w:p>
    <w:p>
      <w:pPr>
        <w:spacing w:before="0" w:after="0" w:line="408" w:lineRule="exact"/>
        <w:ind w:left="0" w:right="0" w:firstLine="576"/>
        <w:jc w:val="left"/>
      </w:pPr>
      <w:r>
        <w:rPr>
          <w:u w:val="single"/>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u w:val="single"/>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u w:val="single"/>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care provided on or after July 1, 2022. This act does not affect the ability of a patient who received care prior to July 1, 2022, to receive charity care under RCW 70.170.020 and 70.170.060 as the sections existed before that date.</w:t>
      </w:r>
    </w:p>
    <w:p/>
    <w:p>
      <w:pPr>
        <w:jc w:val="center"/>
      </w:pPr>
      <w:r>
        <w:rPr>
          <w:b/>
        </w:rPr>
        <w:t>--- END ---</w:t>
      </w:r>
    </w:p>
    <w:sectPr>
      <w:pgNumType w:start="1"/>
      <w:footerReference xmlns:r="http://schemas.openxmlformats.org/officeDocument/2006/relationships" r:id="R2e8b69f8297b42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acc30b55c44de" /><Relationship Type="http://schemas.openxmlformats.org/officeDocument/2006/relationships/footer" Target="/word/footer1.xml" Id="R2e8b69f8297b4252" /></Relationships>
</file>