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f3f6dbf28f4d6f" /></Relationships>
</file>

<file path=word/document.xml><?xml version="1.0" encoding="utf-8"?>
<w:document xmlns:w="http://schemas.openxmlformats.org/wordprocessingml/2006/main">
  <w:body>
    <w:p>
      <w:r>
        <w:t>H-1801.1</w:t>
      </w:r>
    </w:p>
    <w:p>
      <w:pPr>
        <w:jc w:val="center"/>
      </w:pPr>
      <w:r>
        <w:t>_______________________________________________</w:t>
      </w:r>
    </w:p>
    <w:p/>
    <w:p>
      <w:pPr>
        <w:jc w:val="center"/>
      </w:pPr>
      <w:r>
        <w:rPr>
          <w:b/>
        </w:rPr>
        <w:t>HOUSE BILL 1645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Bateman, Schmick, Callan, Santos, Tharinger, Stonier, and Riccelli</w:t>
      </w:r>
    </w:p>
    <w:p/>
    <w:p>
      <w:r>
        <w:rPr>
          <w:t xml:space="preserve">Prefiled 12/15/21.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assisted living payment methodology; amending RCW 74.39A.032 and 70.129.030;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outdated medicaid payment methodology was replaced by the 2018 legislature with a new payment system that is based on prevalent wages supported by verifiable, public data and the hours of care needed for each resident's acuity according to a time study conducted by the department of social and health services. While it was intended that the model be fully phased-in, the legislature finds that this methodology is currently only phased-in to 60 percent and that medicaid payments for wages have fallen below the state minimum wage. Assisted living contractors that provide care for medicaid clients are unable to hire and retain the necessary workforce. As employers to thousands of nursing staff who are over 40 percent nonwhite or foreign born and predominately older females, it is essential that these providers are able to keep up with prevailing wages. The legislature also recognizes that the population aged 79 and older is growing rapidly and it is critical to update state policies including provider payment rates to ensure the availability of enrolled medicaid providers is sufficient to serve the number of beneficiaries who wish to remain within geographic proximity to their own community. The legislature finds assisted living is a valued partner in providing care to Washington state's low-income elderly populations and, as such, intends to formalize the medicaid payment methodology phase-in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032</w:t>
      </w:r>
      <w:r>
        <w:rPr/>
        <w:t xml:space="preserve"> and 2018 c 225 s 3 are each amended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which must be phased-in to </w:t>
      </w:r>
      <w:r>
        <w:t>((</w:t>
      </w:r>
      <w:r>
        <w:rPr>
          <w:strike/>
        </w:rPr>
        <w:t xml:space="preserve">full</w:t>
      </w:r>
      <w:r>
        <w:t>))</w:t>
      </w:r>
      <w:r>
        <w:rPr/>
        <w:t xml:space="preserve"> </w:t>
      </w:r>
      <w:r>
        <w:rPr>
          <w:u w:val="single"/>
        </w:rPr>
        <w:t xml:space="preserve">77 percent of the fully funded model by July 1, 2022, and to 85 percent of the fully funded model by July 1, 2023. Full</w:t>
      </w:r>
      <w:r>
        <w:rPr/>
        <w:t xml:space="preserve"> implementation </w:t>
      </w:r>
      <w:r>
        <w:rPr>
          <w:u w:val="single"/>
        </w:rPr>
        <w:t xml:space="preserve">must be achieved by July 1, 2026,</w:t>
      </w:r>
      <w:r>
        <w:rPr/>
        <w:t xml:space="preserve"> according to funding made available by the legislature for this purpose. The new payment system must have these components: Client care, operations, and room and board.</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rPr/>
        <w:t xml:space="preserve">(a) Supplies;</w:t>
      </w:r>
    </w:p>
    <w:p>
      <w:pPr>
        <w:spacing w:before="0" w:after="0" w:line="408" w:lineRule="exact"/>
        <w:ind w:left="0" w:right="0" w:firstLine="576"/>
        <w:jc w:val="left"/>
      </w:pPr>
      <w:r>
        <w:rPr/>
        <w:t xml:space="preserve">(b) Nonlabor administrative expenses;</w:t>
      </w:r>
    </w:p>
    <w:p>
      <w:pPr>
        <w:spacing w:before="0" w:after="0" w:line="408" w:lineRule="exact"/>
        <w:ind w:left="0" w:right="0" w:firstLine="576"/>
        <w:jc w:val="left"/>
      </w:pPr>
      <w:r>
        <w:rPr/>
        <w:t xml:space="preserve">(c) Staff education and in-service training; and</w:t>
      </w:r>
    </w:p>
    <w:p>
      <w:pPr>
        <w:spacing w:before="0" w:after="0" w:line="408" w:lineRule="exact"/>
        <w:ind w:left="0" w:right="0" w:firstLine="576"/>
        <w:jc w:val="left"/>
      </w:pPr>
      <w:r>
        <w:rPr/>
        <w:t xml:space="preserve">(d) Operational overhead including licenses, insurance, and business and </w:t>
      </w:r>
      <w:r>
        <w:t>((</w:t>
      </w:r>
      <w:r>
        <w:rPr>
          <w:strike/>
        </w:rPr>
        <w:t xml:space="preserve">occupational [occupation]</w:t>
      </w:r>
      <w:r>
        <w:t>))</w:t>
      </w:r>
      <w:r>
        <w:rPr/>
        <w:t xml:space="preserve"> </w:t>
      </w:r>
      <w:r>
        <w:rPr>
          <w:u w:val="single"/>
        </w:rPr>
        <w:t xml:space="preserve">occupation</w:t>
      </w:r>
      <w:r>
        <w:rPr/>
        <w:t xml:space="preserve"> taxes.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w:t>
      </w:r>
    </w:p>
    <w:p>
      <w:pPr>
        <w:spacing w:before="0" w:after="0" w:line="408" w:lineRule="exact"/>
        <w:ind w:left="0" w:right="0" w:firstLine="576"/>
        <w:jc w:val="left"/>
      </w:pPr>
      <w:r>
        <w:rPr/>
        <w:t xml:space="preserve">(5)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rPr/>
        <w:t xml:space="preserve">(6)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rPr/>
        <w:t xml:space="preserve">(7) Beginning July 1, 2020, the room and board component shall be updated annually subject to the department's and the Washington state health care authority's rules related to client financial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030</w:t>
      </w:r>
      <w:r>
        <w:rPr/>
        <w:t xml:space="preserve"> and 2021 c 159 s 23 are each amended to read as follows:</w:t>
      </w:r>
    </w:p>
    <w:p>
      <w:pPr>
        <w:spacing w:before="0" w:after="0" w:line="408" w:lineRule="exact"/>
        <w:ind w:left="0" w:right="0" w:firstLine="576"/>
        <w:jc w:val="left"/>
      </w:pPr>
      <w:r>
        <w:rPr/>
        <w:t xml:space="preserve">(1) The facility must inform the resident both orally and in writing in a language that the resident understands of his or her rights and all rules and regulations governing resident conduct and responsibilities during the stay in the facility. The notification must be made prior to or upon admission. Receipt of the information must be acknowledged in writing.</w:t>
      </w:r>
    </w:p>
    <w:p>
      <w:pPr>
        <w:spacing w:before="0" w:after="0" w:line="408" w:lineRule="exact"/>
        <w:ind w:left="0" w:right="0" w:firstLine="576"/>
        <w:jc w:val="left"/>
      </w:pPr>
      <w:r>
        <w:rPr/>
        <w:t xml:space="preserve">(2) The resident to the extent provided by law or resident representative to the extent provided by law, has the right:</w:t>
      </w:r>
    </w:p>
    <w:p>
      <w:pPr>
        <w:spacing w:before="0" w:after="0" w:line="408" w:lineRule="exact"/>
        <w:ind w:left="0" w:right="0" w:firstLine="576"/>
        <w:jc w:val="left"/>
      </w:pPr>
      <w:r>
        <w:rPr/>
        <w:t xml:space="preserve">(a) Upon an oral or written request, to access all records pertaining to himself or herself including clinical records within twenty-four hours; and</w:t>
      </w:r>
    </w:p>
    <w:p>
      <w:pPr>
        <w:spacing w:before="0" w:after="0" w:line="408" w:lineRule="exact"/>
        <w:ind w:left="0" w:right="0" w:firstLine="576"/>
        <w:jc w:val="left"/>
      </w:pPr>
      <w:r>
        <w:rPr/>
        <w:t xml:space="preserve">(b) After receipt of his or her records for inspection, to purchase at a cost not to exceed the community standard photocopies of the records or portions of them upon request and two working days' advance notice to the facility.</w:t>
      </w:r>
    </w:p>
    <w:p>
      <w:pPr>
        <w:spacing w:before="0" w:after="0" w:line="408" w:lineRule="exact"/>
        <w:ind w:left="0" w:right="0" w:firstLine="576"/>
        <w:jc w:val="left"/>
      </w:pPr>
      <w:r>
        <w:rPr/>
        <w:t xml:space="preserve">(3) The facility shall only admit or retain individuals whose needs it can safely and appropriately serve in the facility with appropriate available staff and through the provision of reasonable accommodations required by state or federal law. Except in cases of genuine emergency, the facility shall not admit an individual before obtaining a thorough assessment of the resident's needs and preferences. The assessment shall contain, unless unavailable despite the best efforts of the facility, the resident applicant, and other interested parties, the following minimum information: Recent medical history; necessary and contraindicated medications; a licensed medical or other health professional's diagnosis, unless the individual objects for religious reasons; significant known behaviors or symptoms that may cause concern or require special care; mental illness, except where protected by confidentiality laws; level of personal care needs; activities and service preferences; and preferences regarding other issues important to the resident applicant, such as food and daily routine.</w:t>
      </w:r>
    </w:p>
    <w:p>
      <w:pPr>
        <w:spacing w:before="0" w:after="0" w:line="408" w:lineRule="exact"/>
        <w:ind w:left="0" w:right="0" w:firstLine="576"/>
        <w:jc w:val="left"/>
      </w:pPr>
      <w:r>
        <w:rPr/>
        <w:t xml:space="preserve">(4) The facility must inform each resident in writing in a language the resident or resident representative understands before admission, and at least once every twenty-four months thereafter of: (a) Services, items, and activities customarily available in the facility or arranged for by the facility as permitted by the facility's license; (b) charges for those services, items, and activities including charges for services, items, and activities not covered by the facility's per diem rate or applicable public benefit programs; </w:t>
      </w:r>
      <w:r>
        <w:t>((</w:t>
      </w:r>
      <w:r>
        <w:rPr>
          <w:strike/>
        </w:rPr>
        <w:t xml:space="preserve">and</w:t>
      </w:r>
      <w:r>
        <w:t>))</w:t>
      </w:r>
      <w:r>
        <w:rPr/>
        <w:t xml:space="preserve"> (c) </w:t>
      </w:r>
      <w:r>
        <w:rPr>
          <w:u w:val="single"/>
        </w:rPr>
        <w:t xml:space="preserve">facility policies concerning medicaid insurance; and (d)</w:t>
      </w:r>
      <w:r>
        <w:rPr/>
        <w:t xml:space="preserve"> the rules of facility operations required under RCW 70.129.140(2). Each resident and resident representative must be informed in writing in advance of changes in the availability or the charges for services, items, or activities, or of changes in the facility's rules. Except in emergencies, thirty days' advance notice must be given prior to the change. However, for facilities licensed for six or fewer residents, if there has been a substantial and continuing change in the resident's condition necessitating substantially greater or lesser services, items, or activities, then the charges for those services, items, or activities may be changed upon fourteen days' advance written notice.</w:t>
      </w:r>
    </w:p>
    <w:p>
      <w:pPr>
        <w:spacing w:before="0" w:after="0" w:line="408" w:lineRule="exact"/>
        <w:ind w:left="0" w:right="0" w:firstLine="576"/>
        <w:jc w:val="left"/>
      </w:pPr>
      <w:r>
        <w:rPr/>
        <w:t xml:space="preserve">(5) The facility must furnish a written description of residents rights that includes:</w:t>
      </w:r>
    </w:p>
    <w:p>
      <w:pPr>
        <w:spacing w:before="0" w:after="0" w:line="408" w:lineRule="exact"/>
        <w:ind w:left="0" w:right="0" w:firstLine="576"/>
        <w:jc w:val="left"/>
      </w:pPr>
      <w:r>
        <w:rPr/>
        <w:t xml:space="preserve">(a) A description of the manner of protecting personal funds, under RCW 70.129.040;</w:t>
      </w:r>
    </w:p>
    <w:p>
      <w:pPr>
        <w:spacing w:before="0" w:after="0" w:line="408" w:lineRule="exact"/>
        <w:ind w:left="0" w:right="0" w:firstLine="576"/>
        <w:jc w:val="left"/>
      </w:pPr>
      <w:r>
        <w:rPr/>
        <w:t xml:space="preserve">(b) A posting of names, addresses, and telephone numbers of the state survey and certification agency, the state licensure office, the state ombuds program, and the protection and advocacy systems; and</w:t>
      </w:r>
    </w:p>
    <w:p>
      <w:pPr>
        <w:spacing w:before="0" w:after="0" w:line="408" w:lineRule="exact"/>
        <w:ind w:left="0" w:right="0" w:firstLine="576"/>
        <w:jc w:val="left"/>
      </w:pPr>
      <w:r>
        <w:rPr/>
        <w:t xml:space="preserve">(c) A statement that the resident may file a complaint with the appropriate state licensing agency concerning alleged resident abuse, neglect, and misappropriation of resident property in the facility.</w:t>
      </w:r>
    </w:p>
    <w:p>
      <w:pPr>
        <w:spacing w:before="0" w:after="0" w:line="408" w:lineRule="exact"/>
        <w:ind w:left="0" w:right="0" w:firstLine="576"/>
        <w:jc w:val="left"/>
      </w:pPr>
      <w:r>
        <w:rPr/>
        <w:t xml:space="preserve">(6) Notification of changes.</w:t>
      </w:r>
    </w:p>
    <w:p>
      <w:pPr>
        <w:spacing w:before="0" w:after="0" w:line="408" w:lineRule="exact"/>
        <w:ind w:left="0" w:right="0" w:firstLine="576"/>
        <w:jc w:val="left"/>
      </w:pPr>
      <w:r>
        <w:rPr/>
        <w:t xml:space="preserve">(a) A facility must immediately consult with the resident's physician, and if known, make reasonable efforts to notify the resident representative to the extent provided by law when there is:</w:t>
      </w:r>
    </w:p>
    <w:p>
      <w:pPr>
        <w:spacing w:before="0" w:after="0" w:line="408" w:lineRule="exact"/>
        <w:ind w:left="0" w:right="0" w:firstLine="576"/>
        <w:jc w:val="left"/>
      </w:pPr>
      <w:r>
        <w:rPr/>
        <w:t xml:space="preserve">(i) An accident involving the resident which requires or has the potential for requiring physician intervention;</w:t>
      </w:r>
    </w:p>
    <w:p>
      <w:pPr>
        <w:spacing w:before="0" w:after="0" w:line="408" w:lineRule="exact"/>
        <w:ind w:left="0" w:right="0" w:firstLine="576"/>
        <w:jc w:val="left"/>
      </w:pPr>
      <w:r>
        <w:rPr/>
        <w:t xml:space="preserve">(ii) A significant change in the resident's physical, mental, or psychosocial status (i.e., a deterioration in health, mental, or psychosocial status in either life-threatening conditions or clinical complications).</w:t>
      </w:r>
    </w:p>
    <w:p>
      <w:pPr>
        <w:spacing w:before="0" w:after="0" w:line="408" w:lineRule="exact"/>
        <w:ind w:left="0" w:right="0" w:firstLine="576"/>
        <w:jc w:val="left"/>
      </w:pPr>
      <w:r>
        <w:rPr/>
        <w:t xml:space="preserve">(b) The facility must promptly notify the resident or resident representative when there is:</w:t>
      </w:r>
    </w:p>
    <w:p>
      <w:pPr>
        <w:spacing w:before="0" w:after="0" w:line="408" w:lineRule="exact"/>
        <w:ind w:left="0" w:right="0" w:firstLine="576"/>
        <w:jc w:val="left"/>
      </w:pPr>
      <w:r>
        <w:rPr/>
        <w:t xml:space="preserve">(i) A change in room or roommate assignment; or</w:t>
      </w:r>
    </w:p>
    <w:p>
      <w:pPr>
        <w:spacing w:before="0" w:after="0" w:line="408" w:lineRule="exact"/>
        <w:ind w:left="0" w:right="0" w:firstLine="576"/>
        <w:jc w:val="left"/>
      </w:pPr>
      <w:r>
        <w:rPr/>
        <w:t xml:space="preserve">(ii) A decision to transfer or discharge the resident from the facility.</w:t>
      </w:r>
    </w:p>
    <w:p>
      <w:pPr>
        <w:spacing w:before="0" w:after="0" w:line="408" w:lineRule="exact"/>
        <w:ind w:left="0" w:right="0" w:firstLine="576"/>
        <w:jc w:val="left"/>
      </w:pPr>
      <w:r>
        <w:rPr/>
        <w:t xml:space="preserve">(c) The facility must record and update the address, phone number, and any other contact information of the resident representative, upon receipt of notice from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social and health services shall convene a stakeholder work group to develop a prevailing wage report and reporting process for medicaid providers. The department must implement the reporting requirement to coincide with the payment system being phased-in to 85 percent of the fully funded model. Beginning with the first report and continuing until the medicaid payment methodology is fully phased-in, the department shall summarize provider reported information and submit it to the legislature. The department's summary must include a comparison between the funding provided to support wages under the medicaid payment methodology for occupations reported by the providers and the corresponding prevailing wages paid by contracted assisted living providers.</w:t>
      </w:r>
    </w:p>
    <w:p>
      <w:pPr>
        <w:spacing w:before="0" w:after="0" w:line="408" w:lineRule="exact"/>
        <w:ind w:left="0" w:right="0" w:firstLine="576"/>
        <w:jc w:val="left"/>
      </w:pPr>
      <w:r>
        <w:rPr/>
        <w:t xml:space="preserve">(b) The stakeholder work group must consist of the assistant secretary of the department or the assistant secretary's appointed designee; one representative from each of two associations in Washington representing assisted living communities; and the long-term care ombuds or the long-term care ombuds' designee.</w:t>
      </w:r>
    </w:p>
    <w:p>
      <w:pPr>
        <w:spacing w:before="0" w:after="0" w:line="408" w:lineRule="exact"/>
        <w:ind w:left="0" w:right="0" w:firstLine="576"/>
        <w:jc w:val="left"/>
      </w:pPr>
      <w:r>
        <w:rPr/>
        <w:t xml:space="preserve">(c) The report must be based on the following criteria:</w:t>
      </w:r>
    </w:p>
    <w:p>
      <w:pPr>
        <w:spacing w:before="0" w:after="0" w:line="408" w:lineRule="exact"/>
        <w:ind w:left="0" w:right="0" w:firstLine="576"/>
        <w:jc w:val="left"/>
      </w:pPr>
      <w:r>
        <w:rPr/>
        <w:t xml:space="preserve">(i) The reporting requirement may not be administratively burdensome to either the providers or the department;</w:t>
      </w:r>
    </w:p>
    <w:p>
      <w:pPr>
        <w:spacing w:before="0" w:after="0" w:line="408" w:lineRule="exact"/>
        <w:ind w:left="0" w:right="0" w:firstLine="576"/>
        <w:jc w:val="left"/>
      </w:pPr>
      <w:r>
        <w:rPr/>
        <w:t xml:space="preserve">(ii) The stakeholders must reach majority consensus on the type of data reported;</w:t>
      </w:r>
    </w:p>
    <w:p>
      <w:pPr>
        <w:spacing w:before="0" w:after="0" w:line="408" w:lineRule="exact"/>
        <w:ind w:left="0" w:right="0" w:firstLine="576"/>
        <w:jc w:val="left"/>
      </w:pPr>
      <w:r>
        <w:rPr/>
        <w:t xml:space="preserve">(iii) A data use agreement must be developed and included in the reporting process to protect the identity of individual assisted living providers and the identity of employees in the wage categories;</w:t>
      </w:r>
    </w:p>
    <w:p>
      <w:pPr>
        <w:spacing w:before="0" w:after="0" w:line="408" w:lineRule="exact"/>
        <w:ind w:left="0" w:right="0" w:firstLine="576"/>
        <w:jc w:val="left"/>
      </w:pPr>
      <w:r>
        <w:rPr/>
        <w:t xml:space="preserve">(iv) The design may be limited to a survey sample, to providers who meet certain medicaid occupancy thresholds, or both;</w:t>
      </w:r>
    </w:p>
    <w:p>
      <w:pPr>
        <w:spacing w:before="0" w:after="0" w:line="408" w:lineRule="exact"/>
        <w:ind w:left="0" w:right="0" w:firstLine="576"/>
        <w:jc w:val="left"/>
      </w:pPr>
      <w:r>
        <w:rPr/>
        <w:t xml:space="preserve">(v) The timeline and frequency for reporting must be agreed to by majority consensus; and</w:t>
      </w:r>
    </w:p>
    <w:p>
      <w:pPr>
        <w:spacing w:before="0" w:after="0" w:line="408" w:lineRule="exact"/>
        <w:ind w:left="0" w:right="0" w:firstLine="576"/>
        <w:jc w:val="left"/>
      </w:pPr>
      <w:r>
        <w:rPr/>
        <w:t xml:space="preserve">(vi) The data reported must be validated through an agreed upon attestation process with supporting documentation determined by majority consensus.</w:t>
      </w:r>
    </w:p>
    <w:p>
      <w:pPr>
        <w:spacing w:before="0" w:after="0" w:line="408" w:lineRule="exact"/>
        <w:ind w:left="0" w:right="0" w:firstLine="576"/>
        <w:jc w:val="left"/>
      </w:pPr>
      <w:r>
        <w:rPr/>
        <w:t xml:space="preserve">(2) The department shall provide a summary to the legislature of discharge regulations and notification requirements for assisted living providers by December 30, 2022. Thereafter, the department shall regularly review and report on the impact of RCW 74.39A.032(1) on medicaid utilization and access to assisted living.</w:t>
      </w:r>
    </w:p>
    <w:p/>
    <w:p>
      <w:pPr>
        <w:jc w:val="center"/>
      </w:pPr>
      <w:r>
        <w:rPr>
          <w:b/>
        </w:rPr>
        <w:t>--- END ---</w:t>
      </w:r>
    </w:p>
    <w:sectPr>
      <w:pgNumType w:start="1"/>
      <w:footerReference xmlns:r="http://schemas.openxmlformats.org/officeDocument/2006/relationships" r:id="R49827d124c404e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5a8a81dd14d40" /><Relationship Type="http://schemas.openxmlformats.org/officeDocument/2006/relationships/footer" Target="/word/footer1.xml" Id="R49827d124c404e23" /></Relationships>
</file>