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08a008c9e44df" /></Relationships>
</file>

<file path=word/document.xml><?xml version="1.0" encoding="utf-8"?>
<w:document xmlns:w="http://schemas.openxmlformats.org/wordprocessingml/2006/main">
  <w:body>
    <w:p>
      <w:r>
        <w:t>H-2446.2</w:t>
      </w:r>
    </w:p>
    <w:p>
      <w:pPr>
        <w:jc w:val="center"/>
      </w:pPr>
      <w:r>
        <w:t>_______________________________________________</w:t>
      </w:r>
    </w:p>
    <w:p/>
    <w:p>
      <w:pPr>
        <w:jc w:val="center"/>
      </w:pPr>
      <w:r>
        <w:rPr>
          <w:b/>
        </w:rPr>
        <w:t>SUBSTITUTE HOUSE BILL 1682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Fitzgibbon, Ramel, Duerr, Berry, Macri, Ormsby, and Hackney; by request of Department of Ecology)</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compliance pathway specific to emissions-intensive, trade-exposed businesses for achieving their proportionate share of the state's emissions reduction limits through 2050; amending RCW 70A.65.110, 70A.65.230, and 70A.65.260; reenacting and amending RCW 43.21B.110;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r>
        <w:rPr>
          <w:u w:val="single"/>
        </w:rPr>
        <w:t xml:space="preserve">, as those classifications existed on January 1, 2021</w:t>
      </w:r>
      <w:r>
        <w:rPr/>
        <w:t xml:space="preserve">:</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w:t>
      </w:r>
      <w:r>
        <w:t>((</w:t>
      </w:r>
      <w:r>
        <w:rPr>
          <w:strike/>
        </w:rPr>
        <w:t xml:space="preserve">manufacturing businesses</w:t>
      </w:r>
      <w:r>
        <w:t>))</w:t>
      </w:r>
      <w:r>
        <w:rPr/>
        <w:t xml:space="preserve"> </w:t>
      </w:r>
      <w:r>
        <w:rPr>
          <w:u w:val="single"/>
        </w:rPr>
        <w:t xml:space="preserve">facilities</w:t>
      </w:r>
      <w:r>
        <w:rPr/>
        <w:t xml:space="preserve"> during the second compliance period of the program and subsequent compliance periods. A </w:t>
      </w:r>
      <w:r>
        <w:rPr>
          <w:u w:val="single"/>
        </w:rPr>
        <w:t xml:space="preserve">manufacturing</w:t>
      </w:r>
      <w:r>
        <w:rPr/>
        <w:t xml:space="preserve"> facility covered by subsection (1)(a) through (m) of this section is considered an emissions-intensive, trade-exposed facility and is eligible for allocation of no cost allowances as described in this section. In addition, any covered party that </w:t>
      </w:r>
      <w:r>
        <w:t>((</w:t>
      </w:r>
      <w:r>
        <w:rPr>
          <w:strike/>
        </w:rPr>
        <w:t xml:space="preserve">is a manufacturing business</w:t>
      </w:r>
      <w:r>
        <w:t>))</w:t>
      </w:r>
      <w:r>
        <w:rPr/>
        <w:t xml:space="preserve"> </w:t>
      </w:r>
      <w:r>
        <w:rPr>
          <w:u w:val="single"/>
        </w:rPr>
        <w:t xml:space="preserve">owns or operates a manufacturing facility</w:t>
      </w:r>
      <w:r>
        <w:rPr/>
        <w:t xml:space="preserve">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w:t>
      </w:r>
      <w:r>
        <w:t>((</w:t>
      </w:r>
      <w:r>
        <w:rPr>
          <w:strike/>
        </w:rPr>
        <w:t xml:space="preserve">manufacturing businesses</w:t>
      </w:r>
      <w:r>
        <w:t>))</w:t>
      </w:r>
      <w:r>
        <w:rPr/>
        <w:t xml:space="preserve"> </w:t>
      </w:r>
      <w:r>
        <w:rPr>
          <w:u w:val="single"/>
        </w:rPr>
        <w:t xml:space="preserve">facilities</w:t>
      </w:r>
      <w:r>
        <w:rPr/>
        <w:t xml:space="preserve">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w:t>
      </w:r>
      <w:r>
        <w:rPr>
          <w:u w:val="single"/>
        </w:rPr>
        <w:t xml:space="preserve">For the year beginning January 1, 2035, these facilities must be awarded no cost allowances equal to 88 percent of the facility's mass-based baseline. For each year beginning January 1, 2036, until January 1, 2050, these facilities must be awarded no cost allowances that must be six percentage points below the percentage of no cost allowances awarded during the preceding year.</w:t>
      </w:r>
      <w:r>
        <w:rPr/>
        <w:t xml:space="preserv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u w:val="single"/>
        </w:rPr>
        <w:t xml:space="preserve">(iii) For the year beginning January 1, 2035, the benchmark for each emissions-intensive, trade-exposed facility is 88 percent of the facility's carbon intensity baseline. For each year beginning January 1, 2036, until January 1, 2050, the benchmark for each emissions-intensive, trade-exposed facility is six percentage points below the percentage of no cost allowances awarded during the preceding year.</w:t>
      </w:r>
    </w:p>
    <w:p>
      <w:pPr>
        <w:spacing w:before="0" w:after="0" w:line="408" w:lineRule="exact"/>
        <w:ind w:left="0" w:right="0" w:firstLine="576"/>
        <w:jc w:val="left"/>
      </w:pPr>
      <w:r>
        <w:rPr/>
        <w:t xml:space="preserve">(f) </w:t>
      </w:r>
      <w:r>
        <w:t>((</w:t>
      </w:r>
      <w:r>
        <w:rPr>
          <w:strike/>
        </w:rPr>
        <w:t xml:space="preserve">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w:t>
      </w:r>
      <w:r>
        <w:t>))</w:t>
      </w:r>
      <w:r>
        <w:rPr/>
        <w:t xml:space="preserve"> </w:t>
      </w:r>
      <w:r>
        <w:rPr>
          <w:u w:val="single"/>
        </w:rPr>
        <w:t xml:space="preserve">(i)</w:t>
      </w:r>
      <w:r>
        <w:rPr/>
        <w:t xml:space="preserve"> The department shall by rule provide for </w:t>
      </w:r>
      <w:r>
        <w:rPr>
          <w:u w:val="single"/>
        </w:rPr>
        <w:t xml:space="preserve">an</w:t>
      </w:r>
      <w:r>
        <w:rPr/>
        <w:t xml:space="preserve"> emissions-intensive, trade-exposed </w:t>
      </w:r>
      <w:r>
        <w:t>((</w:t>
      </w:r>
      <w:r>
        <w:rPr>
          <w:strike/>
        </w:rPr>
        <w:t xml:space="preserve">facilities</w:t>
      </w:r>
      <w:r>
        <w:t>))</w:t>
      </w:r>
      <w:r>
        <w:rPr/>
        <w:t xml:space="preserve"> </w:t>
      </w:r>
      <w:r>
        <w:rPr>
          <w:u w:val="single"/>
        </w:rPr>
        <w:t xml:space="preserve">facility</w:t>
      </w:r>
      <w:r>
        <w:rPr/>
        <w:t xml:space="preserve"> to apply</w:t>
      </w:r>
      <w:r>
        <w:rPr>
          <w:u w:val="single"/>
        </w:rPr>
        <w:t xml:space="preserve">, prior to the beginning of the fourth or subsequent compliance periods,</w:t>
      </w:r>
      <w:r>
        <w:rPr/>
        <w:t xml:space="preserve"> to the department for an </w:t>
      </w:r>
      <w:r>
        <w:rPr>
          <w:u w:val="single"/>
        </w:rPr>
        <w:t xml:space="preserve">upwards</w:t>
      </w:r>
      <w:r>
        <w:rPr/>
        <w:t xml:space="preserve"> adjustment to the allocation for direct distribution of no cost allowances </w:t>
      </w:r>
      <w:r>
        <w:t>((</w:t>
      </w:r>
      <w:r>
        <w:rPr>
          <w:strike/>
        </w:rPr>
        <w:t xml:space="preserve">based on its facility-specific carbon intensity benchmark or mass emissions baseline. The department shall make adjustments based on:</w:t>
      </w:r>
    </w:p>
    <w:p>
      <w:pPr>
        <w:spacing w:before="0" w:after="0" w:line="408" w:lineRule="exact"/>
        <w:ind w:left="0" w:right="0" w:firstLine="576"/>
        <w:jc w:val="left"/>
      </w:pPr>
      <w:r>
        <w:rPr>
          <w:strike/>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strike/>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strike/>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r>
        <w:t>))</w:t>
      </w:r>
      <w:r>
        <w:rPr/>
        <w:t xml:space="preserve"> </w:t>
      </w:r>
      <w:r>
        <w:rPr>
          <w:u w:val="single"/>
        </w:rPr>
        <w:t xml:space="preserve">to the facility</w:t>
      </w:r>
      <w:r>
        <w:rPr/>
        <w:t xml:space="preserve">.</w:t>
      </w:r>
    </w:p>
    <w:p>
      <w:pPr>
        <w:spacing w:before="0" w:after="0" w:line="408" w:lineRule="exact"/>
        <w:ind w:left="0" w:right="0" w:firstLine="576"/>
        <w:jc w:val="left"/>
      </w:pPr>
      <w:r>
        <w:rPr>
          <w:u w:val="single"/>
        </w:rPr>
        <w:t xml:space="preserve">(ii)(A) If the facility claims that it is already employing best available technology, the application must provide a detailed description of the technology and all data and information that may be relevant to the department's determination as to whether the facility is employing best available technology. The department may require an applicant to submit data or other information as necessary to allow the department to determine what constitutes best available technology for the applicant. The department may request or consider data and information regarding best available technology sourced from a person other than an applicant. The department must deny an application for which it does not have sufficient data or information to allow it to determine what constitutes best available technology.</w:t>
      </w:r>
    </w:p>
    <w:p>
      <w:pPr>
        <w:spacing w:before="0" w:after="0" w:line="408" w:lineRule="exact"/>
        <w:ind w:left="0" w:right="0" w:firstLine="576"/>
        <w:jc w:val="left"/>
      </w:pPr>
      <w:r>
        <w:rPr>
          <w:u w:val="single"/>
        </w:rPr>
        <w:t xml:space="preserve">(B) If the facility is not already employing best available technology, the application must set forth a detailed and credible plan to employ best available technology within a reasonable period of time, but not to exceed 12 years. The plan must include a description of each technology, component, process, improvement, equipment, or other action or investment that will result in reductions in the facility's carbon intensity or mass-based emissions, and the year of deployment and the emissions reductions anticipated from each such action or investment; a description of how the best available technology will be designed, installed, and operated; and a description of how the best available technology will be financed, which may include a proposed cost share with the state using funds made available from the climate commitment account or the dedication of any revenues generated from allowances allocated to the owner or operator of the facility under this section. The plan must also include an estimate of, and all relevant data and information concerning, what the facility's carbon intensity or mass-based baseline will be once the facility is employing best available technology and for each year prior to the completion of the plan to employ best available technology. The department may require an applicant to submit data or other information as necessary to allow the department to determine what constitutes best available technology for the applicant. The department may request or consider data and information regarding best available technology sourced from a person other than an applicant. The department must deny an application for which it does not have sufficient data or information to allow it to determine what constitutes best available technology.</w:t>
      </w:r>
    </w:p>
    <w:p>
      <w:pPr>
        <w:spacing w:before="0" w:after="0" w:line="408" w:lineRule="exact"/>
        <w:ind w:left="0" w:right="0" w:firstLine="576"/>
        <w:jc w:val="left"/>
      </w:pPr>
      <w:r>
        <w:rPr>
          <w:u w:val="single"/>
        </w:rPr>
        <w:t xml:space="preserve">(iii) The department must grant the application if the department determines, based upon a review of the data and information submitted by the facility and any other relevant data and information, that:</w:t>
      </w:r>
    </w:p>
    <w:p>
      <w:pPr>
        <w:spacing w:before="0" w:after="0" w:line="408" w:lineRule="exact"/>
        <w:ind w:left="0" w:right="0" w:firstLine="576"/>
        <w:jc w:val="left"/>
      </w:pPr>
      <w:r>
        <w:rPr>
          <w:u w:val="single"/>
        </w:rPr>
        <w:t xml:space="preserve">(A) The facility is already employing best available technology; or</w:t>
      </w:r>
    </w:p>
    <w:p>
      <w:pPr>
        <w:spacing w:before="0" w:after="0" w:line="408" w:lineRule="exact"/>
        <w:ind w:left="0" w:right="0" w:firstLine="576"/>
        <w:jc w:val="left"/>
      </w:pPr>
      <w:r>
        <w:rPr>
          <w:u w:val="single"/>
        </w:rPr>
        <w:t xml:space="preserve">(B) The facility is not employing best available technology but has a detailed and credible plan to employ best available technology within a reasonable period of time, but not to exceed 12 years, in a manner that will result in additional reductions in carbon intensity or mass-based emissions. The department and facility may agree to additional terms or conditions that may be incorporated into the facility's plan.</w:t>
      </w:r>
    </w:p>
    <w:p>
      <w:pPr>
        <w:spacing w:before="0" w:after="0" w:line="408" w:lineRule="exact"/>
        <w:ind w:left="0" w:right="0" w:firstLine="576"/>
        <w:jc w:val="left"/>
      </w:pPr>
      <w:r>
        <w:rPr>
          <w:u w:val="single"/>
        </w:rPr>
        <w:t xml:space="preserve">(iv)(A) Except as provided in (f)(iv)(C) of this subsection, if the department grants an application to a facility that already employs best available technology, it must award no cost allowances equal to 100 percent of the facility's carbon intensity or mass-based baseline for each year of the compliance period their application concerned.</w:t>
      </w:r>
    </w:p>
    <w:p>
      <w:pPr>
        <w:spacing w:before="0" w:after="0" w:line="408" w:lineRule="exact"/>
        <w:ind w:left="0" w:right="0" w:firstLine="576"/>
        <w:jc w:val="left"/>
      </w:pPr>
      <w:r>
        <w:rPr>
          <w:u w:val="single"/>
        </w:rPr>
        <w:t xml:space="preserve">(B) Except as provided in (f)(iv)(C) of this subsection, if the department grants an application to a facility that is not employing best available technology, the department must award no cost allowances equal to 100 percent of the facility's emissions as projected under the best available technology plan for each year of the compliance period their application concerned.</w:t>
      </w:r>
    </w:p>
    <w:p>
      <w:pPr>
        <w:spacing w:before="0" w:after="0" w:line="408" w:lineRule="exact"/>
        <w:ind w:left="0" w:right="0" w:firstLine="576"/>
        <w:jc w:val="left"/>
      </w:pPr>
      <w:r>
        <w:rPr>
          <w:u w:val="single"/>
        </w:rPr>
        <w:t xml:space="preserve">(C) Notwithstanding (f)(iv)(A) and (B) of this subsection, allowances awarded pursuant to (f)(iv)(A) and (B) of this subsection must not exceed the quantity of free allowances the facility otherwise received, or otherwise would have received, for the year beginning January 1, 2035.</w:t>
      </w:r>
    </w:p>
    <w:p>
      <w:pPr>
        <w:spacing w:before="0" w:after="0" w:line="408" w:lineRule="exact"/>
        <w:ind w:left="0" w:right="0" w:firstLine="576"/>
        <w:jc w:val="left"/>
      </w:pPr>
      <w:r>
        <w:rPr>
          <w:u w:val="single"/>
        </w:rPr>
        <w:t xml:space="preserve">(v) A facility's application seeking an upwards adjustment in the allocation of no cost allowances, and any determination by the department, is only valid for the compliance period it was submitted concerning. A facility that has received an upwards adjustment in the allocation of no cost allowances must reapply for an upwards adjustment prior to the beginning of any subsequent compliance period but may rely on a previously approved application as the basis of their best available technology application to the department for any components of best available technology or the best available technology plan that have not changed since the plan was last approved by the department.</w:t>
      </w:r>
    </w:p>
    <w:p>
      <w:pPr>
        <w:spacing w:before="0" w:after="0" w:line="408" w:lineRule="exact"/>
        <w:ind w:left="0" w:right="0" w:firstLine="576"/>
        <w:jc w:val="left"/>
      </w:pPr>
      <w:r>
        <w:rPr>
          <w:u w:val="single"/>
        </w:rPr>
        <w:t xml:space="preserve">(vi) A facility that has received an upwards adjustment in the allocation of no cost allowances based upon a detailed and credible plan to employ best available technology, but has failed to employ best available technology consistent with the deployment schedule required in the plan:</w:t>
      </w:r>
    </w:p>
    <w:p>
      <w:pPr>
        <w:spacing w:before="0" w:after="0" w:line="408" w:lineRule="exact"/>
        <w:ind w:left="0" w:right="0" w:firstLine="576"/>
        <w:jc w:val="left"/>
      </w:pPr>
      <w:r>
        <w:rPr>
          <w:u w:val="single"/>
        </w:rPr>
        <w:t xml:space="preserve">(A) Is subject to enforcement and penalties under RCW 70A.65.200(2) for a failure to submit sufficient compliance instruments for every additional allowance that it received pursuant to the upwards adjustment; and</w:t>
      </w:r>
    </w:p>
    <w:p>
      <w:pPr>
        <w:spacing w:before="0" w:after="0" w:line="408" w:lineRule="exact"/>
        <w:ind w:left="0" w:right="0" w:firstLine="576"/>
        <w:jc w:val="left"/>
      </w:pPr>
      <w:r>
        <w:rPr>
          <w:u w:val="single"/>
        </w:rPr>
        <w:t xml:space="preserve">(B) May not apply for, or receive, any upwards adjustment in the allocation of no cost allowances in any subsequent compliance period.</w:t>
      </w:r>
    </w:p>
    <w:p>
      <w:pPr>
        <w:spacing w:before="0" w:after="0" w:line="408" w:lineRule="exact"/>
        <w:ind w:left="0" w:right="0" w:firstLine="576"/>
        <w:jc w:val="left"/>
      </w:pPr>
      <w:r>
        <w:rPr>
          <w:u w:val="single"/>
        </w:rPr>
        <w:t xml:space="preserve">(vii) Pursuant to RCW 43.21B.110(1)(o), a person may appeal a decision by the department to approve or not approve an upwards adjustment in the allocation of no cost allowances under this subsection.</w:t>
      </w:r>
    </w:p>
    <w:p>
      <w:pPr>
        <w:spacing w:before="0" w:after="0" w:line="408" w:lineRule="exact"/>
        <w:ind w:left="0" w:right="0" w:firstLine="576"/>
        <w:jc w:val="left"/>
      </w:pPr>
      <w:r>
        <w:rPr>
          <w:u w:val="single"/>
        </w:rPr>
        <w:t xml:space="preserve">(g) Any adjustment granted pursuant to (f) of this subsection may not:</w:t>
      </w:r>
    </w:p>
    <w:p>
      <w:pPr>
        <w:spacing w:before="0" w:after="0" w:line="408" w:lineRule="exact"/>
        <w:ind w:left="0" w:right="0" w:firstLine="576"/>
        <w:jc w:val="left"/>
      </w:pPr>
      <w:r>
        <w:rPr>
          <w:u w:val="single"/>
        </w:rPr>
        <w:t xml:space="preserve">(i) Increase the annual allowance budget for the program under RCW 70A.65.070 for any calendar year in the compliance period for which the adjustment was granted or for any future calendar year;</w:t>
      </w:r>
    </w:p>
    <w:p>
      <w:pPr>
        <w:spacing w:before="0" w:after="0" w:line="408" w:lineRule="exact"/>
        <w:ind w:left="0" w:right="0" w:firstLine="576"/>
        <w:jc w:val="left"/>
      </w:pPr>
      <w:r>
        <w:rPr>
          <w:u w:val="single"/>
        </w:rPr>
        <w:t xml:space="preserve">(ii) Reduce the progressively equivalent reductions year over year in the annual allowance budgets under RCW 70A.65.070; or</w:t>
      </w:r>
    </w:p>
    <w:p>
      <w:pPr>
        <w:spacing w:before="0" w:after="0" w:line="408" w:lineRule="exact"/>
        <w:ind w:left="0" w:right="0" w:firstLine="576"/>
        <w:jc w:val="left"/>
      </w:pPr>
      <w:r>
        <w:rPr>
          <w:u w:val="single"/>
        </w:rPr>
        <w:t xml:space="preserve">(iii) Prevent the achievement of the emissions limits established in RCW 70A.45.020, as those limits apply to this chapter.</w:t>
      </w:r>
    </w:p>
    <w:p>
      <w:pPr>
        <w:spacing w:before="0" w:after="0" w:line="408" w:lineRule="exact"/>
        <w:ind w:left="0" w:right="0" w:firstLine="576"/>
        <w:jc w:val="left"/>
      </w:pPr>
      <w:r>
        <w:rPr/>
        <w:t xml:space="preserve">(4)</w:t>
      </w:r>
      <w:r>
        <w:t>((</w:t>
      </w:r>
      <w:r>
        <w:rPr>
          <w:strike/>
        </w:rPr>
        <w:t xml:space="preserve">(a)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strike/>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strike/>
        </w:rPr>
        <w:t xml:space="preserve">(5)</w:t>
      </w:r>
      <w:r>
        <w:t>))</w:t>
      </w:r>
      <w:r>
        <w:rPr/>
        <w:t xml:space="preserve">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chapter 316, Laws of 2021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 owner or operator of more than one facility receiving no cost allowances under this section may transfer allowances among the eligible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0" w:after="0" w:line="408" w:lineRule="exact"/>
        <w:ind w:left="0" w:right="0" w:firstLine="576"/>
        <w:jc w:val="left"/>
      </w:pPr>
      <w:r>
        <w:rPr>
          <w:u w:val="single"/>
        </w:rPr>
        <w:t xml:space="preserve">(8) If deemed by the department necessary to ensure proper market functioning, to achieve the share of the statewide emissions limits established in RCW 70A.45.020 and covered by this act, or to provide for alignment with other jurisdictions to which the state has executed a linkage agreement, the department by rule may modify the no cost allowance amounts in:</w:t>
      </w:r>
    </w:p>
    <w:p>
      <w:pPr>
        <w:spacing w:before="0" w:after="0" w:line="408" w:lineRule="exact"/>
        <w:ind w:left="0" w:right="0" w:firstLine="576"/>
        <w:jc w:val="left"/>
      </w:pPr>
      <w:r>
        <w:rPr>
          <w:u w:val="single"/>
        </w:rPr>
        <w:t xml:space="preserve">(a) Subsection (3)(b)(ii) of this section concerning each year beginning January 1, 2035, until January 1, 2050; and</w:t>
      </w:r>
    </w:p>
    <w:p>
      <w:pPr>
        <w:spacing w:before="0" w:after="0" w:line="408" w:lineRule="exact"/>
        <w:ind w:left="0" w:right="0" w:firstLine="576"/>
        <w:jc w:val="left"/>
      </w:pPr>
      <w:r>
        <w:rPr>
          <w:u w:val="single"/>
        </w:rPr>
        <w:t xml:space="preserve">(b) Subsection (3)(e)(iii) of this section; and</w:t>
      </w:r>
    </w:p>
    <w:p>
      <w:pPr>
        <w:spacing w:before="0" w:after="0" w:line="408" w:lineRule="exact"/>
        <w:ind w:left="0" w:right="0" w:firstLine="576"/>
        <w:jc w:val="left"/>
      </w:pPr>
      <w:r>
        <w:rPr>
          <w:u w:val="single"/>
        </w:rPr>
        <w:t xml:space="preserve">(c) Subsection (3)(f)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2021 c 316 s 29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w:t>
      </w:r>
      <w:r>
        <w:rPr>
          <w:u w:val="single"/>
        </w:rPr>
        <w:t xml:space="preserve">-</w:t>
      </w:r>
      <w:r>
        <w:rPr/>
        <w:t xml:space="preserve">intensive fuel sources</w:t>
      </w:r>
      <w:r>
        <w:rPr>
          <w:u w:val="single"/>
        </w:rPr>
        <w:t xml:space="preserve">, including programs, activities, or projects that reduce covered emissions of facilities identified as emissions-intensive, trade-exposed industries pursuant to RCW 70A.65.110</w:t>
      </w:r>
      <w:r>
        <w:rPr/>
        <w:t xml:space="preserve">;</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Decisions of the department of ecology to approve or not approve an upwards adjustment to the allocation of no cost allowances to an emissions-intensive, trade-exposed facility under RCW 70A.65.110(3)(f).</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
      <w:pPr>
        <w:jc w:val="center"/>
      </w:pPr>
      <w:r>
        <w:rPr>
          <w:b/>
        </w:rPr>
        <w:t>--- END ---</w:t>
      </w:r>
    </w:p>
    <w:sectPr>
      <w:pgNumType w:start="1"/>
      <w:footerReference xmlns:r="http://schemas.openxmlformats.org/officeDocument/2006/relationships" r:id="R10101da282ba43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a0786c611495e" /><Relationship Type="http://schemas.openxmlformats.org/officeDocument/2006/relationships/footer" Target="/word/footer1.xml" Id="R10101da282ba4395" /></Relationships>
</file>