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16899b2764b9f" /></Relationships>
</file>

<file path=word/document.xml><?xml version="1.0" encoding="utf-8"?>
<w:document xmlns:w="http://schemas.openxmlformats.org/wordprocessingml/2006/main">
  <w:body>
    <w:p>
      <w:r>
        <w:t>H-1856.3</w:t>
      </w:r>
    </w:p>
    <w:p>
      <w:pPr>
        <w:jc w:val="center"/>
      </w:pPr>
      <w:r>
        <w:t>_______________________________________________</w:t>
      </w:r>
    </w:p>
    <w:p/>
    <w:p>
      <w:pPr>
        <w:jc w:val="center"/>
      </w:pPr>
      <w:r>
        <w:rPr>
          <w:b/>
        </w:rPr>
        <w:t>HOUSE BILL 1729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Paul, Ryu, and Leavitt</w:t>
      </w:r>
    </w:p>
    <w:p/>
    <w:p>
      <w:r>
        <w:rPr>
          <w:t xml:space="preserve">Prefiled 01/03/22.</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lieutenant governor, or the lieutenant governor's designee;</w:t>
      </w:r>
    </w:p>
    <w:p>
      <w:pPr>
        <w:spacing w:before="0" w:after="0" w:line="408" w:lineRule="exact"/>
        <w:ind w:left="0" w:right="0" w:firstLine="576"/>
        <w:jc w:val="left"/>
      </w:pPr>
      <w:r>
        <w:rPr/>
        <w:t xml:space="preserve">(d) A cybersecurity expert with experience in blockchain technology or its application;</w:t>
      </w:r>
    </w:p>
    <w:p>
      <w:pPr>
        <w:spacing w:before="0" w:after="0" w:line="408" w:lineRule="exact"/>
        <w:ind w:left="0" w:right="0" w:firstLine="576"/>
        <w:jc w:val="left"/>
      </w:pPr>
      <w:r>
        <w:rPr/>
        <w:t xml:space="preserve">(e) An individual representing a Washington-based technology trade association for the full cross-section of the technology sector;</w:t>
      </w:r>
    </w:p>
    <w:p>
      <w:pPr>
        <w:spacing w:before="0" w:after="0" w:line="408" w:lineRule="exact"/>
        <w:ind w:left="0" w:right="0" w:firstLine="576"/>
        <w:jc w:val="left"/>
      </w:pPr>
      <w:r>
        <w:rPr/>
        <w:t xml:space="preserve">(f) An individual from the Cascadia blockchain council;</w:t>
      </w:r>
    </w:p>
    <w:p>
      <w:pPr>
        <w:spacing w:before="0" w:after="0" w:line="408" w:lineRule="exact"/>
        <w:ind w:left="0" w:right="0" w:firstLine="576"/>
        <w:jc w:val="left"/>
      </w:pPr>
      <w:r>
        <w:rPr/>
        <w:t xml:space="preserve">(g) An individual from a higher education institution in the field of blockchain;</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w:t>
      </w:r>
    </w:p>
    <w:p>
      <w:pPr>
        <w:spacing w:before="0" w:after="0" w:line="408" w:lineRule="exact"/>
        <w:ind w:left="0" w:right="0" w:firstLine="576"/>
        <w:jc w:val="left"/>
      </w:pPr>
      <w:r>
        <w:rPr/>
        <w:t xml:space="preserve">(n) An individual representing an association for public utility districts in Washington;</w:t>
      </w:r>
    </w:p>
    <w:p>
      <w:pPr>
        <w:spacing w:before="0" w:after="0" w:line="408" w:lineRule="exact"/>
        <w:ind w:left="0" w:right="0" w:firstLine="576"/>
        <w:jc w:val="left"/>
      </w:pPr>
      <w:r>
        <w:rPr/>
        <w:t xml:space="preserve">(o) An individual representing a consumer advocacy organization;</w:t>
      </w:r>
    </w:p>
    <w:p>
      <w:pPr>
        <w:spacing w:before="0" w:after="0" w:line="408" w:lineRule="exact"/>
        <w:ind w:left="0" w:right="0" w:firstLine="576"/>
        <w:jc w:val="left"/>
      </w:pPr>
      <w:r>
        <w:rPr/>
        <w:t xml:space="preserve">(p) An individual representing a large company who has experience working with blockchain applications; and</w:t>
      </w:r>
    </w:p>
    <w:p>
      <w:pPr>
        <w:spacing w:before="0" w:after="0" w:line="408" w:lineRule="exact"/>
        <w:ind w:left="0" w:right="0" w:firstLine="576"/>
        <w:jc w:val="left"/>
      </w:pPr>
      <w:r>
        <w:rPr/>
        <w:t xml:space="preserve">(q) An individual representing a small company who has experience working with blockchain applications.</w:t>
      </w:r>
    </w:p>
    <w:p>
      <w:pPr>
        <w:spacing w:before="0" w:after="0" w:line="408" w:lineRule="exact"/>
        <w:ind w:left="0" w:right="0" w:firstLine="576"/>
        <w:jc w:val="left"/>
      </w:pPr>
      <w:r>
        <w:rPr/>
        <w:t xml:space="preserve">(3) The individuals listed in subsection (2)(d) through (q) of this section must be designated by their organization or association or the lieutenant governor.</w:t>
      </w:r>
    </w:p>
    <w:p>
      <w:pPr>
        <w:spacing w:before="0" w:after="0" w:line="408" w:lineRule="exact"/>
        <w:ind w:left="0" w:right="0" w:firstLine="576"/>
        <w:jc w:val="left"/>
      </w:pPr>
      <w:r>
        <w:rPr/>
        <w:t xml:space="preserve">(4) In addition to the members listed in subsection (2) of this section, the following individuals shall serve as ex officio members of the work group: The director of the department of commerce, or the director's designee;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and the director of the department of ecology, or the director's designee.</w:t>
      </w:r>
    </w:p>
    <w:p>
      <w:pPr>
        <w:spacing w:before="0" w:after="0" w:line="408" w:lineRule="exact"/>
        <w:ind w:left="0" w:right="0" w:firstLine="576"/>
        <w:jc w:val="left"/>
      </w:pPr>
      <w:r>
        <w:rPr/>
        <w:t xml:space="preserve">(5) In addition to the members of the work group under subsections (2) and (4)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(6)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(7) The work group shall hold its inaugural meeting by August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(8) Staff support for the work group, including arranging the inaugural meeting of the work group and assisting the chair of the work group in arranging subsequent meetings, must be provided by the office of the lieutenant governor.</w:t>
      </w:r>
    </w:p>
    <w:p>
      <w:pPr>
        <w:spacing w:before="0" w:after="0" w:line="408" w:lineRule="exact"/>
        <w:ind w:left="0" w:right="0" w:firstLine="576"/>
        <w:jc w:val="left"/>
      </w:pPr>
      <w:r>
        <w:rPr/>
        <w:t xml:space="preserve">(9)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work group is a class one group under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The work group shall submit a report to the governor and the appropriate committees of the legislature by December 1, 2023, on recommended policies that will facilitate the development of blockchain applications and the sector overall in Washington, grow the related workforce, evaluate environmental advantages and concerns, make Washington a favorable place to do business, and improve the lives of Washington residents.</w:t>
      </w:r>
    </w:p>
    <w:p>
      <w:pPr>
        <w:spacing w:before="0" w:after="0" w:line="408" w:lineRule="exact"/>
        <w:ind w:left="0" w:right="0" w:firstLine="576"/>
        <w:jc w:val="left"/>
      </w:pPr>
      <w:r>
        <w:rPr/>
        <w:t xml:space="preserve">(13)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0ed4b4ee0c5f47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483d6f0764c83" /><Relationship Type="http://schemas.openxmlformats.org/officeDocument/2006/relationships/footer" Target="/word/footer1.xml" Id="R0ed4b4ee0c5f4718" /></Relationships>
</file>