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0a58c8063148ec" /></Relationships>
</file>

<file path=word/document.xml><?xml version="1.0" encoding="utf-8"?>
<w:document xmlns:w="http://schemas.openxmlformats.org/wordprocessingml/2006/main">
  <w:body>
    <w:p>
      <w:r>
        <w:t>Z-0465.1</w:t>
      </w:r>
    </w:p>
    <w:p>
      <w:pPr>
        <w:jc w:val="center"/>
      </w:pPr>
      <w:r>
        <w:t>_______________________________________________</w:t>
      </w:r>
    </w:p>
    <w:p/>
    <w:p>
      <w:pPr>
        <w:jc w:val="center"/>
      </w:pPr>
      <w:r>
        <w:rPr>
          <w:b/>
        </w:rPr>
        <w:t>HOUSE BILL 1753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Fitzgibbon, Valdez, Bateman, Ramel, Sullivan, Simmons, Ormsby, and Young; by request of Office of the Governor</w:t>
      </w:r>
    </w:p>
    <w:p/>
    <w:p>
      <w:r>
        <w:rPr>
          <w:t xml:space="preserve">Prefiled 01/04/22.</w:t>
        </w:rPr>
      </w:r>
      <w:r>
        <w:rPr>
          <w:t xml:space="preserve">Read first time 01/10/22.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tribal consultation regarding the use of certain funding authorized by the climate commitment act; and adding a new section to chapter 70A.65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and individual consultation with any affected federally recognized tribe on all funding decisions and funding programs that may impact tribal resources, including tribal cultural resources, fisheries, archaeological sites, or sacred sites, or other rights and interests in tribal lands and lands within which a tribe or tribes possess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a federally recognized tribe. The purpose of the consultation process is to determine whether a proposed action will, or could potentially, impact tribal resources or rights, with a goal of avoiding or mitigating the impacts.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w:t>
      </w:r>
    </w:p>
    <w:p>
      <w:pPr>
        <w:spacing w:before="0" w:after="0" w:line="408" w:lineRule="exact"/>
        <w:ind w:left="0" w:right="0" w:firstLine="576"/>
        <w:jc w:val="left"/>
      </w:pPr>
      <w:r>
        <w:rPr/>
        <w:t xml:space="preserve">(a) The preapplication process must include the applicant notifying the department of archaeology and historic preservation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and all affected federally recognized tribes within the project area. Discussions may include the project's impact to tribal resources, including tribal cultural resources, fisheries, archaeological sites, sacred sites,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action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and to the affected federally recognized tribes. Alternatively, the applicant must document the reason why a discussion has not occurred.</w:t>
      </w:r>
    </w:p>
    <w:p>
      <w:pPr>
        <w:spacing w:before="0" w:after="0" w:line="408" w:lineRule="exact"/>
        <w:ind w:left="0" w:right="0" w:firstLine="576"/>
        <w:jc w:val="left"/>
      </w:pPr>
      <w:r>
        <w:rPr/>
        <w:t xml:space="preserve">(3) If any funding decision, program, project, or activity that impacts lands or fisheries within which a federally recognized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action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tribal government may call for the state and tribe or tribes to enter into formal mediation.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parties.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action agency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must be periodically reviewed and updated.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the effective date of this section.</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
      <w:pPr>
        <w:jc w:val="center"/>
      </w:pPr>
      <w:r>
        <w:rPr>
          <w:b/>
        </w:rPr>
        <w:t>--- END ---</w:t>
      </w:r>
    </w:p>
    <w:sectPr>
      <w:pgNumType w:start="1"/>
      <w:footerReference xmlns:r="http://schemas.openxmlformats.org/officeDocument/2006/relationships" r:id="R0014e17d47ee4a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43085f53b4fcd" /><Relationship Type="http://schemas.openxmlformats.org/officeDocument/2006/relationships/footer" Target="/word/footer1.xml" Id="R0014e17d47ee4a81" /></Relationships>
</file>