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3fbc4c1f7f4c83" /></Relationships>
</file>

<file path=word/document.xml><?xml version="1.0" encoding="utf-8"?>
<w:document xmlns:w="http://schemas.openxmlformats.org/wordprocessingml/2006/main">
  <w:body>
    <w:p>
      <w:r>
        <w:t>H-2582.1</w:t>
      </w:r>
    </w:p>
    <w:p>
      <w:pPr>
        <w:jc w:val="center"/>
      </w:pPr>
      <w:r>
        <w:t>_______________________________________________</w:t>
      </w:r>
    </w:p>
    <w:p/>
    <w:p>
      <w:pPr>
        <w:jc w:val="center"/>
      </w:pPr>
      <w:r>
        <w:rPr>
          <w:b/>
        </w:rPr>
        <w:t>SECOND SUBSTITUTE HOUSE BILL 1815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Transportation (originally sponsored by Representatives Ryu, Boehnke, J. Johnson, Berry, Fitzgibbon, Orwall, Shewmake, Leavitt, Chase, Sells, Gregerson, Bateman, Fey, Goodman, Robertson, Macri, Ramos, Santos, Wylie, Simmons, Slatter, Bergquist, Tharinger, Valdez, Thai, Wicks, Pollet, Graham, Young,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deterring catalytic converter theft; amending RCW 19.290.020 and 36.28A.240;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 and</w:t>
      </w:r>
    </w:p>
    <w:p>
      <w:pPr>
        <w:spacing w:before="0" w:after="0" w:line="408" w:lineRule="exact"/>
        <w:ind w:left="0" w:right="0" w:firstLine="576"/>
        <w:jc w:val="left"/>
      </w:pPr>
      <w:r>
        <w:rPr/>
        <w:t xml:space="preserve">(e) Options and opportunities to reduce costs to victims of catalytic converter theft.</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When funded, the Washington association of sheriffs and police chiefs shall establish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w:t>
      </w:r>
      <w:r>
        <w:t>))</w:t>
      </w:r>
      <w:r>
        <w:rPr/>
        <w:t xml:space="preserve"> through peer review panels </w:t>
      </w:r>
      <w:r>
        <w:rPr>
          <w:u w:val="single"/>
        </w:rPr>
        <w:t xml:space="preserve">after coordination with county and city elected officials in areas with a demonstrated increase in metal theft over the previous 24 months</w:t>
      </w:r>
      <w:r>
        <w:rPr/>
        <w:t xml:space="preserve">. Grant applicants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Verify that grant awards are sufficient to cover increased investigation, prosecution, and jail costs;</w:t>
      </w:r>
    </w:p>
    <w:p>
      <w:pPr>
        <w:spacing w:before="0" w:after="0" w:line="408" w:lineRule="exact"/>
        <w:ind w:left="0" w:right="0" w:firstLine="576"/>
        <w:jc w:val="left"/>
      </w:pPr>
      <w:r>
        <w:rPr/>
        <w:t xml:space="preserve">(c) Design an enforcement program that best suits the specific metal theft problem in the jurisdiction or jurisdictions receiving the grant;</w:t>
      </w:r>
    </w:p>
    <w:p>
      <w:pPr>
        <w:spacing w:before="0" w:after="0" w:line="408" w:lineRule="exact"/>
        <w:ind w:left="0" w:right="0" w:firstLine="576"/>
        <w:jc w:val="left"/>
      </w:pPr>
      <w:r>
        <w:rPr/>
        <w:t xml:space="preserve">(d) Demonstrate community coordination focusing on prevention, intervention, and suppression; and</w:t>
      </w:r>
    </w:p>
    <w:p>
      <w:pPr>
        <w:spacing w:before="0" w:after="0" w:line="408" w:lineRule="exact"/>
        <w:ind w:left="0" w:right="0" w:firstLine="576"/>
        <w:jc w:val="left"/>
      </w:pPr>
      <w:r>
        <w:rPr/>
        <w:t xml:space="preserve">(e) Collect data on performance.</w:t>
      </w:r>
    </w:p>
    <w:p>
      <w:pPr>
        <w:spacing w:before="0" w:after="0" w:line="408" w:lineRule="exact"/>
        <w:ind w:left="0" w:right="0" w:firstLine="576"/>
        <w:jc w:val="left"/>
      </w:pPr>
      <w:r>
        <w:rPr/>
        <w:t xml:space="preserve">(3) The cost of administering the grants shall not exceed </w:t>
      </w:r>
      <w:r>
        <w:t>((</w:t>
      </w:r>
      <w:r>
        <w:rPr>
          <w:strike/>
        </w:rPr>
        <w:t xml:space="preserve">sixty thousand dollars</w:t>
      </w:r>
      <w:r>
        <w:t>))</w:t>
      </w:r>
      <w:r>
        <w:rPr/>
        <w:t xml:space="preserve"> </w:t>
      </w:r>
      <w:r>
        <w:rPr>
          <w:u w:val="single"/>
        </w:rPr>
        <w:t xml:space="preserve">$60,000</w:t>
      </w:r>
      <w:r>
        <w:rPr/>
        <w:t xml:space="preserve">, or three percent of appropriated funding, whichever is greater.</w:t>
      </w:r>
    </w:p>
    <w:p>
      <w:pPr>
        <w:spacing w:before="0" w:after="0" w:line="408" w:lineRule="exact"/>
        <w:ind w:left="0" w:right="0" w:firstLine="576"/>
        <w:jc w:val="left"/>
      </w:pPr>
      <w:r>
        <w:rPr/>
        <w:t xml:space="preserve">(4) Grant awards may not be used to supplant preexisting funding sources for special enforcement targeting metal theft.</w:t>
      </w:r>
    </w:p>
    <w:p/>
    <w:p>
      <w:pPr>
        <w:jc w:val="center"/>
      </w:pPr>
      <w:r>
        <w:rPr>
          <w:b/>
        </w:rPr>
        <w:t>--- END ---</w:t>
      </w:r>
    </w:p>
    <w:sectPr>
      <w:pgNumType w:start="1"/>
      <w:footerReference xmlns:r="http://schemas.openxmlformats.org/officeDocument/2006/relationships" r:id="R88ac3fc9f18a46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7f5a6c1a6410c" /><Relationship Type="http://schemas.openxmlformats.org/officeDocument/2006/relationships/footer" Target="/word/footer1.xml" Id="R88ac3fc9f18a462b" /></Relationships>
</file>