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014eaebc64b7e" /></Relationships>
</file>

<file path=word/document.xml><?xml version="1.0" encoding="utf-8"?>
<w:document xmlns:w="http://schemas.openxmlformats.org/wordprocessingml/2006/main">
  <w:body>
    <w:p>
      <w:r>
        <w:t>H-1995.1</w:t>
      </w:r>
    </w:p>
    <w:p>
      <w:pPr>
        <w:jc w:val="center"/>
      </w:pPr>
      <w:r>
        <w:t>_______________________________________________</w:t>
      </w:r>
    </w:p>
    <w:p/>
    <w:p>
      <w:pPr>
        <w:jc w:val="center"/>
      </w:pPr>
      <w:r>
        <w:rPr>
          <w:b/>
        </w:rPr>
        <w:t>HOUSE BILL 1837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Ortiz-Self, Berry, and Pollet</w:t>
      </w:r>
    </w:p>
    <w:p/>
    <w:p>
      <w:r>
        <w:rPr>
          <w:t xml:space="preserve">Prefiled 01/07/22.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state's ability to address work-related musculoskeletal injuries;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musculoskeletal injuries are a leading cause of disability, accounting for more than 130,000,000 patient visits to health care providers annually. These injuries cover a range of conditions related to overexertion and repetitive motion, such as pinched nerves, sprains, hernias, and connective tissue diseases. Musculoskeletal conditions are the number one reason for visits to a physician, affecting nearly half of all Americans above 18 years of age.</w:t>
      </w:r>
    </w:p>
    <w:p>
      <w:pPr>
        <w:spacing w:before="0" w:after="0" w:line="408" w:lineRule="exact"/>
        <w:ind w:left="0" w:right="0" w:firstLine="576"/>
        <w:jc w:val="left"/>
      </w:pPr>
      <w:r>
        <w:rPr/>
        <w:t xml:space="preserve">(2) The legislature finds that work-related musculoskeletal injuries account for at least one-third of all nonfatal work injuries, are more severe than the average nonfatal injury or illness, and are the most frequently reported cause of lost or restricted work time. Work-related musculoskeletal injuries occur from ergonomically incorrect and unregulated working practices.</w:t>
      </w:r>
    </w:p>
    <w:p>
      <w:pPr>
        <w:spacing w:before="0" w:after="0" w:line="408" w:lineRule="exact"/>
        <w:ind w:left="0" w:right="0" w:firstLine="576"/>
        <w:jc w:val="left"/>
      </w:pPr>
      <w:r>
        <w:rPr/>
        <w:t xml:space="preserve">(3) The legislature finds that many of Washington state's critical industries, including agriculture and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Initiative Measure No. 841, approved by the voters in 2003, repealed existing ergonomic regulations and barred the department of labor and industries from regulating working practices to address musculoskeletal injuries. The legislature finds that the absence of regulatorily authority in this important area has contributed to increases in workplace injuries and costs.</w:t>
      </w:r>
    </w:p>
    <w:p>
      <w:pPr>
        <w:spacing w:before="0" w:after="0" w:line="408" w:lineRule="exact"/>
        <w:ind w:left="0" w:right="0" w:firstLine="576"/>
        <w:jc w:val="left"/>
      </w:pPr>
      <w:r>
        <w:rPr/>
        <w:t xml:space="preserve">(5) The legislature therefore intends to repeal the prohibition on regulating working practices related to musculoskeletal injuries, thereby allowing targeted safety efforts to more effectively and efficiently prevent these needless workplace injuries. By removing this outdated barrier, the legislature will restore the state's ability to more comprehensively address important workplace safety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(2)</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
      <w:pPr>
        <w:jc w:val="center"/>
      </w:pPr>
      <w:r>
        <w:rPr>
          <w:b/>
        </w:rPr>
        <w:t>--- END ---</w:t>
      </w:r>
    </w:p>
    <w:sectPr>
      <w:pgNumType w:start="1"/>
      <w:footerReference xmlns:r="http://schemas.openxmlformats.org/officeDocument/2006/relationships" r:id="Rd67842f3c5d84f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fc46d138e4eb0" /><Relationship Type="http://schemas.openxmlformats.org/officeDocument/2006/relationships/footer" Target="/word/footer1.xml" Id="Rd67842f3c5d84fba" /></Relationships>
</file>