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1f4c713d04299" /></Relationships>
</file>

<file path=word/document.xml><?xml version="1.0" encoding="utf-8"?>
<w:document xmlns:w="http://schemas.openxmlformats.org/wordprocessingml/2006/main">
  <w:body>
    <w:p>
      <w:r>
        <w:t>H-1940.2</w:t>
      </w:r>
    </w:p>
    <w:p>
      <w:pPr>
        <w:jc w:val="center"/>
      </w:pPr>
      <w:r>
        <w:t>_______________________________________________</w:t>
      </w:r>
    </w:p>
    <w:p/>
    <w:p>
      <w:pPr>
        <w:jc w:val="center"/>
      </w:pPr>
      <w:r>
        <w:rPr>
          <w:b/>
        </w:rPr>
        <w:t>HOUSE BILL 1884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Chase, and Young</w:t>
      </w:r>
    </w:p>
    <w:p/>
    <w:p>
      <w:r>
        <w:rPr>
          <w:t xml:space="preserve">Read first time 01/11/22.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 forensic election audits at the direction of the legislature; amending RCW 29A.60.090, 29A.60.095, 29A.60.110, and 29A.60.125; and adding a new section to chapter 29A.60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concurrent resolution or through a budget proviso, the legislature may authorize an independent forensic audit of a general election to be performed by a company or organization that is not a government entity. The concurrent resolution or budget proviso shall describe the scope of the forensic audit.</w:t>
      </w:r>
    </w:p>
    <w:p>
      <w:pPr>
        <w:spacing w:before="0" w:after="0" w:line="408" w:lineRule="exact"/>
        <w:ind w:left="0" w:right="0" w:firstLine="576"/>
        <w:jc w:val="left"/>
      </w:pPr>
      <w:r>
        <w:rPr/>
        <w:t xml:space="preserve">(2) The company or organization shall be selected by the secretary of state in a competitive bidding process consistent with chapter 39.26 RCW.</w:t>
      </w:r>
    </w:p>
    <w:p>
      <w:pPr>
        <w:spacing w:before="0" w:after="0" w:line="408" w:lineRule="exact"/>
        <w:ind w:left="0" w:right="0" w:firstLine="576"/>
        <w:jc w:val="left"/>
      </w:pPr>
      <w:r>
        <w:rPr/>
        <w:t xml:space="preserve">(3) The company or organization shall be given access to all election materials, including ballot envelopes, ballots and duplicated ballots, voting machines, and servers used in the election process.</w:t>
      </w:r>
    </w:p>
    <w:p>
      <w:pPr>
        <w:spacing w:before="0" w:after="0" w:line="408" w:lineRule="exact"/>
        <w:ind w:left="0" w:right="0" w:firstLine="576"/>
        <w:jc w:val="left"/>
      </w:pPr>
      <w:r>
        <w:rPr/>
        <w:t xml:space="preserve">(4) The audit shall be conducted in conjunction with elections officials.</w:t>
      </w:r>
    </w:p>
    <w:p>
      <w:pPr>
        <w:spacing w:before="0" w:after="0" w:line="408" w:lineRule="exact"/>
        <w:ind w:left="0" w:right="0" w:firstLine="576"/>
        <w:jc w:val="left"/>
      </w:pPr>
      <w:r>
        <w:rPr/>
        <w:t xml:space="preserve">(5) Election observers designated under RCW 29A.40.100 must be allowed to observe all aspects of the audit.</w:t>
      </w:r>
    </w:p>
    <w:p>
      <w:pPr>
        <w:spacing w:before="0" w:after="0" w:line="408" w:lineRule="exact"/>
        <w:ind w:left="0" w:right="0" w:firstLine="576"/>
        <w:jc w:val="left"/>
      </w:pPr>
      <w:r>
        <w:rPr/>
        <w:t xml:space="preserve">(6) By August 1st, the company or organization must submit a report to the legislature detailing the findings of the audit and any recommendations to improve ballot integrity in future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090</w:t>
      </w:r>
      <w:r>
        <w:rPr/>
        <w:t xml:space="preserve"> and 2003 c 111 s 1509 are each amended to read as follows:</w:t>
      </w:r>
    </w:p>
    <w:p>
      <w:pPr>
        <w:spacing w:before="0" w:after="0" w:line="408" w:lineRule="exact"/>
        <w:ind w:left="0" w:right="0" w:firstLine="576"/>
        <w:jc w:val="left"/>
      </w:pPr>
      <w:r>
        <w:rPr/>
        <w:t xml:space="preserve">In counties using voting systems, the county auditor shall maintain the following documents for at least </w:t>
      </w:r>
      <w:r>
        <w:t>((</w:t>
      </w:r>
      <w:r>
        <w:rPr>
          <w:strike/>
        </w:rPr>
        <w:t xml:space="preserve">sixty days</w:t>
      </w:r>
      <w:r>
        <w:t>))</w:t>
      </w:r>
      <w:r>
        <w:rPr/>
        <w:t xml:space="preserve"> </w:t>
      </w:r>
      <w:r>
        <w:rPr>
          <w:u w:val="single"/>
        </w:rPr>
        <w:t xml:space="preserve">three years</w:t>
      </w:r>
      <w:r>
        <w:rPr/>
        <w:t xml:space="preserve"> after the primary or election:</w:t>
      </w:r>
    </w:p>
    <w:p>
      <w:pPr>
        <w:spacing w:before="0" w:after="0" w:line="408" w:lineRule="exact"/>
        <w:ind w:left="0" w:right="0" w:firstLine="576"/>
        <w:jc w:val="left"/>
      </w:pPr>
      <w:r>
        <w:rPr/>
        <w:t xml:space="preserve">(1) Sample ballot formats together with a record of the format or formats assigned to each precinct;</w:t>
      </w:r>
    </w:p>
    <w:p>
      <w:pPr>
        <w:spacing w:before="0" w:after="0" w:line="408" w:lineRule="exact"/>
        <w:ind w:left="0" w:right="0" w:firstLine="576"/>
        <w:jc w:val="left"/>
      </w:pPr>
      <w:r>
        <w:rPr/>
        <w:t xml:space="preserve">(2) All programming material related to the control of the vote tallying system for that primary or election; and</w:t>
      </w:r>
    </w:p>
    <w:p>
      <w:pPr>
        <w:spacing w:before="0" w:after="0" w:line="408" w:lineRule="exact"/>
        <w:ind w:left="0" w:right="0" w:firstLine="576"/>
        <w:jc w:val="left"/>
      </w:pPr>
      <w:r>
        <w:rPr/>
        <w:t xml:space="preserve">(3) All test materials used to verify the accuracy of the tabulating equipment as required by RCW 29A.12.130.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095</w:t>
      </w:r>
      <w:r>
        <w:rPr/>
        <w:t xml:space="preserve"> and 2005 c 242 s 3 are each amended to read as follows:</w:t>
      </w:r>
    </w:p>
    <w:p>
      <w:pPr>
        <w:spacing w:before="0" w:after="0" w:line="408" w:lineRule="exact"/>
        <w:ind w:left="0" w:right="0" w:firstLine="576"/>
        <w:jc w:val="left"/>
      </w:pPr>
      <w:r>
        <w:rPr/>
        <w:t xml:space="preserve">(1) The electronic record produced and counted by electronic voting devices is the official record of each vote for election purposes. The paper record produced under RCW 29A.12.085 must be stored and maintained for use only in the following circumstances:</w:t>
      </w:r>
    </w:p>
    <w:p>
      <w:pPr>
        <w:spacing w:before="0" w:after="0" w:line="408" w:lineRule="exact"/>
        <w:ind w:left="0" w:right="0" w:firstLine="576"/>
        <w:jc w:val="left"/>
      </w:pPr>
      <w:r>
        <w:rPr/>
        <w:t xml:space="preserve">(a) In the event of a manual recount;</w:t>
      </w:r>
    </w:p>
    <w:p>
      <w:pPr>
        <w:spacing w:before="0" w:after="0" w:line="408" w:lineRule="exact"/>
        <w:ind w:left="0" w:right="0" w:firstLine="576"/>
        <w:jc w:val="left"/>
      </w:pPr>
      <w:r>
        <w:rPr/>
        <w:t xml:space="preserve">(b) By order of the county canvassing board;</w:t>
      </w:r>
    </w:p>
    <w:p>
      <w:pPr>
        <w:spacing w:before="0" w:after="0" w:line="408" w:lineRule="exact"/>
        <w:ind w:left="0" w:right="0" w:firstLine="576"/>
        <w:jc w:val="left"/>
      </w:pPr>
      <w:r>
        <w:rPr/>
        <w:t xml:space="preserve">(c) By order of a court of competent jurisdiction; </w:t>
      </w:r>
      <w:r>
        <w:t>((</w:t>
      </w:r>
      <w:r>
        <w:rPr>
          <w:strike/>
        </w:rPr>
        <w:t xml:space="preserve">or</w:t>
      </w:r>
      <w:r>
        <w:t>))</w:t>
      </w:r>
    </w:p>
    <w:p>
      <w:pPr>
        <w:spacing w:before="0" w:after="0" w:line="408" w:lineRule="exact"/>
        <w:ind w:left="0" w:right="0" w:firstLine="576"/>
        <w:jc w:val="left"/>
      </w:pPr>
      <w:r>
        <w:rPr/>
        <w:t xml:space="preserve">(d) For use in the random audit of results described in RCW 29A.60.185</w:t>
      </w:r>
      <w:r>
        <w:rPr>
          <w:u w:val="single"/>
        </w:rPr>
        <w:t xml:space="preserve">; or</w:t>
      </w:r>
    </w:p>
    <w:p>
      <w:pPr>
        <w:spacing w:before="0" w:after="0" w:line="408" w:lineRule="exact"/>
        <w:ind w:left="0" w:right="0" w:firstLine="576"/>
        <w:jc w:val="left"/>
      </w:pPr>
      <w:r>
        <w:rPr>
          <w:u w:val="single"/>
        </w:rPr>
        <w:t xml:space="preserve">(e) For use in the independent forensic audit described in section 1 of this act</w:t>
      </w:r>
      <w:r>
        <w:rPr/>
        <w:t xml:space="preserve">.</w:t>
      </w:r>
    </w:p>
    <w:p>
      <w:pPr>
        <w:spacing w:before="0" w:after="0" w:line="408" w:lineRule="exact"/>
        <w:ind w:left="0" w:right="0" w:firstLine="576"/>
        <w:jc w:val="left"/>
      </w:pPr>
      <w:r>
        <w:rPr/>
        <w:t xml:space="preserve">(2) When such paper record is used in any of the circumstances listed in subsection (1) of this section, it shall be the official record of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2018 c 218 s 4 are each amended to read as follows:</w:t>
      </w:r>
    </w:p>
    <w:p>
      <w:pPr>
        <w:spacing w:before="0" w:after="0" w:line="408" w:lineRule="exact"/>
        <w:ind w:left="0" w:right="0" w:firstLine="576"/>
        <w:jc w:val="left"/>
      </w:pPr>
      <w:r>
        <w:rPr/>
        <w:t xml:space="preserve">(1) Immediately after their tabulation, all ballots counted at a ballot counting center must be sealed in containers that identify the primary or election and be retained for at least </w:t>
      </w:r>
      <w:r>
        <w:t>((</w:t>
      </w:r>
      <w:r>
        <w:rPr>
          <w:strike/>
        </w:rPr>
        <w:t xml:space="preserve">sixty days</w:t>
      </w:r>
      <w:r>
        <w:t>))</w:t>
      </w:r>
      <w:r>
        <w:rPr/>
        <w:t xml:space="preserve"> </w:t>
      </w:r>
      <w:r>
        <w:rPr>
          <w:u w:val="single"/>
        </w:rPr>
        <w:t xml:space="preserve">three years</w:t>
      </w:r>
      <w:r>
        <w:rPr/>
        <w:t xml:space="preserve"> or according to federal law, whichever is longer.</w:t>
      </w:r>
    </w:p>
    <w:p>
      <w:pPr>
        <w:spacing w:before="0" w:after="0" w:line="408" w:lineRule="exact"/>
        <w:ind w:left="0" w:right="0" w:firstLine="576"/>
        <w:jc w:val="left"/>
      </w:pPr>
      <w:r>
        <w:rPr/>
        <w:t xml:space="preserve">(2)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to conduct an audit under RCW 29A.60.185 </w:t>
      </w:r>
      <w:r>
        <w:rPr>
          <w:u w:val="single"/>
        </w:rPr>
        <w:t xml:space="preserve">or section 1 of this act</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2018 c 218 s 8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tabulation, or to conduct an audit under RCW 29A.60.185 </w:t>
      </w:r>
      <w:r>
        <w:rPr>
          <w:u w:val="single"/>
        </w:rPr>
        <w:t xml:space="preserve">or section 1 of this act</w:t>
      </w:r>
      <w:r>
        <w:rPr/>
        <w:t xml:space="preserve">.</w:t>
      </w:r>
    </w:p>
    <w:p/>
    <w:p>
      <w:pPr>
        <w:jc w:val="center"/>
      </w:pPr>
      <w:r>
        <w:rPr>
          <w:b/>
        </w:rPr>
        <w:t>--- END ---</w:t>
      </w:r>
    </w:p>
    <w:sectPr>
      <w:pgNumType w:start="1"/>
      <w:footerReference xmlns:r="http://schemas.openxmlformats.org/officeDocument/2006/relationships" r:id="R83853d16901a48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5759332d84c7e" /><Relationship Type="http://schemas.openxmlformats.org/officeDocument/2006/relationships/footer" Target="/word/footer1.xml" Id="R83853d16901a4803" /></Relationships>
</file>