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2739680424e3c" /></Relationships>
</file>

<file path=word/document.xml><?xml version="1.0" encoding="utf-8"?>
<w:document xmlns:w="http://schemas.openxmlformats.org/wordprocessingml/2006/main">
  <w:body>
    <w:p>
      <w:r>
        <w:t>H-2557.1</w:t>
      </w:r>
    </w:p>
    <w:p>
      <w:pPr>
        <w:jc w:val="center"/>
      </w:pPr>
      <w:r>
        <w:t>_______________________________________________</w:t>
      </w:r>
    </w:p>
    <w:p/>
    <w:p>
      <w:pPr>
        <w:jc w:val="center"/>
      </w:pPr>
      <w:r>
        <w:rPr>
          <w:b/>
        </w:rPr>
        <w:t>SUBSTITUTE HOUSE BILL 1908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Steele, Santos, Eslick, Graham,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public property for affordable housing;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w:t>
      </w:r>
      <w:r>
        <w:t>((</w:t>
      </w:r>
      <w:r>
        <w:rPr>
          <w:strike/>
        </w:rPr>
        <w:t xml:space="preserve">covenant or other requirement that the property shall be used for the designated public benefit purpose</w:t>
      </w:r>
      <w:r>
        <w:t>))</w:t>
      </w:r>
      <w:r>
        <w:rPr/>
        <w:t xml:space="preserve"> </w:t>
      </w:r>
      <w:r>
        <w:rPr>
          <w:u w:val="single"/>
        </w:rPr>
        <w:t xml:space="preserve">legally binding, recorded document in effect that permanently restricts the occupancy of the unit to a qualified moderate-income, low-income, or very low-income household. These documents include, but are not limited to, affordability covenants, deed restrictions, and community land trust leases. Resale restrictions may include, but are not limited to:</w:t>
      </w:r>
    </w:p>
    <w:p>
      <w:pPr>
        <w:spacing w:before="0" w:after="0" w:line="408" w:lineRule="exact"/>
        <w:ind w:left="0" w:right="0" w:firstLine="576"/>
        <w:jc w:val="left"/>
      </w:pPr>
      <w:r>
        <w:rPr>
          <w:u w:val="single"/>
        </w:rPr>
        <w:t xml:space="preserve">(i) Continuous ownership of land by a public entity or nonprofit housing provider with a lease allowing ownership of the structure by an income-eligible household; or</w:t>
      </w:r>
    </w:p>
    <w:p>
      <w:pPr>
        <w:spacing w:before="0" w:after="0" w:line="408" w:lineRule="exact"/>
        <w:ind w:left="0" w:right="0" w:firstLine="576"/>
        <w:jc w:val="left"/>
      </w:pPr>
      <w:r>
        <w:rPr>
          <w:u w:val="single"/>
        </w:rPr>
        <w:t xml:space="preserve">(ii) A nonpossessory interest or right in real property, such as a deed restriction, restrictive covenant, resale restriction, or other contractual agreement, that ensures affordability</w:t>
      </w:r>
      <w:r>
        <w:rPr/>
        <w:t xml:space="preserv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w:t>
      </w:r>
      <w:r>
        <w:rPr>
          <w:u w:val="single"/>
        </w:rPr>
        <w:t xml:space="preserve">rental</w:t>
      </w:r>
      <w:r>
        <w:rPr/>
        <w:t xml:space="preserve"> housing </w:t>
      </w:r>
      <w:r>
        <w:rPr>
          <w:u w:val="single"/>
        </w:rPr>
        <w:t xml:space="preserve">and permanently affordable homeownership</w:t>
      </w:r>
      <w:r>
        <w:rPr/>
        <w:t xml:space="preserve"> for </w:t>
      </w:r>
      <w:r>
        <w:rPr>
          <w:u w:val="single"/>
        </w:rPr>
        <w:t xml:space="preserve">moderate-income,</w:t>
      </w:r>
      <w:r>
        <w:rPr/>
        <w:t xml:space="preserve"> low-income</w:t>
      </w:r>
      <w:r>
        <w:rPr>
          <w:u w:val="single"/>
        </w:rPr>
        <w:t xml:space="preserve">,</w:t>
      </w:r>
      <w:r>
        <w:rPr/>
        <w:t xml:space="preserve"> and very low-income households as defined in RCW </w:t>
      </w:r>
      <w:r>
        <w:t>((</w:t>
      </w:r>
      <w:r>
        <w:rPr>
          <w:strike/>
        </w:rPr>
        <w:t xml:space="preserve">43.63A.510</w:t>
      </w:r>
      <w:r>
        <w:t>))</w:t>
      </w:r>
      <w:r>
        <w:rPr/>
        <w:t xml:space="preserve"> </w:t>
      </w:r>
      <w:r>
        <w:rPr>
          <w:u w:val="single"/>
        </w:rPr>
        <w:t xml:space="preserve">36.70A.030</w:t>
      </w:r>
      <w:r>
        <w:rPr/>
        <w:t xml:space="preserve">, and related facilities that support the goals of affordable housing development in providing economic and social stability for low-income persons</w:t>
      </w:r>
      <w:r>
        <w:rPr>
          <w:u w:val="single"/>
        </w:rPr>
        <w:t xml:space="preserve">. Monthly housing costs may not exceed:</w:t>
      </w:r>
    </w:p>
    <w:p>
      <w:pPr>
        <w:spacing w:before="0" w:after="0" w:line="408" w:lineRule="exact"/>
        <w:ind w:left="0" w:right="0" w:firstLine="576"/>
        <w:jc w:val="left"/>
      </w:pPr>
      <w:r>
        <w:rPr>
          <w:u w:val="single"/>
        </w:rPr>
        <w:t xml:space="preserve">(i) For rental housing, 30 percent of the household's monthly income for rent and utilities, other than telephone; or</w:t>
      </w:r>
    </w:p>
    <w:p>
      <w:pPr>
        <w:spacing w:before="0" w:after="0" w:line="408" w:lineRule="exact"/>
        <w:ind w:left="0" w:right="0" w:firstLine="576"/>
        <w:jc w:val="left"/>
      </w:pPr>
      <w:r>
        <w:rPr>
          <w:u w:val="single"/>
        </w:rPr>
        <w:t xml:space="preserve">(ii) For permanently affordable owner-occupied housing, 38 percent of the household's monthly income for mortgage principal, interest, property taxes, homeowner's insurance, homeowner's association fees, and land lease fees, as applicable. In addition, total household debt is no more than 45 percent of the monthly household income</w:t>
      </w:r>
      <w:r>
        <w:rPr/>
        <w:t xml:space="preserve">;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e69b5a91a7dc4b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2a8627c2e4da3" /><Relationship Type="http://schemas.openxmlformats.org/officeDocument/2006/relationships/footer" Target="/word/footer1.xml" Id="Re69b5a91a7dc4b1a" /></Relationships>
</file>