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ec684be9140e9" /></Relationships>
</file>

<file path=word/document.xml><?xml version="1.0" encoding="utf-8"?>
<w:document xmlns:w="http://schemas.openxmlformats.org/wordprocessingml/2006/main">
  <w:body>
    <w:p>
      <w:r>
        <w:t>H-2078.1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1912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Representatives Dufault, Orcutt, Robertson, Caldier, Dye, Gilday, Hoff, Jacobsen, Chase, MacEwen, McEntire, Walsh, Corry, Boehnke, Eslick, Barkis, Graham, Stokesbary, Dent, and Young</w:t>
      </w:r>
    </w:p>
    <w:p/>
    <w:p>
      <w:r>
        <w:rPr>
          <w:t xml:space="preserve">Read first time 01/11/22.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repealing the capital gains income tax; creating a new section; repealing RCW 82.87.010, 82.87.020, 82.87.030, 82.87.040, 82.87.050, 82.87.060, 82.87.070, 82.87.080, 82.87.090, 82.87.100, 82.87.110, 82.87.120, 82.87.130, 82.87.140, 82.04.4497, and 82.87.150; and repealing 2021 c 196 ss 18 and 20 (uncodified).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repealed:</w:t>
      </w:r>
    </w:p>
    <w:p>
      <w:pPr>
        <w:spacing w:before="0" w:after="0" w:line="408" w:lineRule="exact"/>
        <w:ind w:left="0" w:right="0" w:firstLine="576"/>
        <w:jc w:val="left"/>
      </w:pPr>
      <w:r>
        <w:t>(1)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010</w:t>
      </w:r>
      <w:r>
        <w:rPr/>
        <w:t xml:space="preserve"> (Findings</w:t>
      </w:r>
      <w:r>
        <w:rPr>
          <w:rFonts w:ascii="Times New Roman" w:hAnsi="Times New Roman"/>
        </w:rPr>
        <w:t xml:space="preserve">—</w:t>
      </w:r>
      <w:r>
        <w:rPr/>
        <w:t xml:space="preserve">Intent</w:t>
      </w:r>
      <w:r>
        <w:rPr>
          <w:rFonts w:ascii="Times New Roman" w:hAnsi="Times New Roman"/>
        </w:rPr>
        <w:t xml:space="preserve">—</w:t>
      </w:r>
      <w:r>
        <w:rPr/>
        <w:t xml:space="preserve">2021 c 196) and 2021 c 196 s 1;</w:t>
      </w:r>
    </w:p>
    <w:p>
      <w:pPr>
        <w:spacing w:before="0" w:after="0" w:line="408" w:lineRule="exact"/>
        <w:ind w:left="0" w:right="0" w:firstLine="576"/>
        <w:jc w:val="left"/>
      </w:pPr>
      <w:r>
        <w:t>(2)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020</w:t>
      </w:r>
      <w:r>
        <w:rPr/>
        <w:t xml:space="preserve"> (Definitions) and 2021 c 196 s 4;</w:t>
      </w:r>
    </w:p>
    <w:p>
      <w:pPr>
        <w:spacing w:before="0" w:after="0" w:line="408" w:lineRule="exact"/>
        <w:ind w:left="0" w:right="0" w:firstLine="576"/>
        <w:jc w:val="left"/>
      </w:pPr>
      <w:r>
        <w:t>(3)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030</w:t>
      </w:r>
      <w:r>
        <w:rPr/>
        <w:t xml:space="preserve"> (Distribution of revenues) and 2021 c 196 s 2;</w:t>
      </w:r>
    </w:p>
    <w:p>
      <w:pPr>
        <w:spacing w:before="0" w:after="0" w:line="408" w:lineRule="exact"/>
        <w:ind w:left="0" w:right="0" w:firstLine="576"/>
        <w:jc w:val="left"/>
      </w:pPr>
      <w:r>
        <w:t>(4)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040</w:t>
      </w:r>
      <w:r>
        <w:rPr/>
        <w:t xml:space="preserve"> (Tax imposed</w:t>
      </w:r>
      <w:r>
        <w:rPr>
          <w:rFonts w:ascii="Times New Roman" w:hAnsi="Times New Roman"/>
        </w:rPr>
        <w:t xml:space="preserve">—</w:t>
      </w:r>
      <w:r>
        <w:rPr/>
        <w:t xml:space="preserve">Long-term capital assets) and 2021 c 196 s 5;</w:t>
      </w:r>
    </w:p>
    <w:p>
      <w:pPr>
        <w:spacing w:before="0" w:after="0" w:line="408" w:lineRule="exact"/>
        <w:ind w:left="0" w:right="0" w:firstLine="576"/>
        <w:jc w:val="left"/>
      </w:pPr>
      <w:r>
        <w:t>(5)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050</w:t>
      </w:r>
      <w:r>
        <w:rPr/>
        <w:t xml:space="preserve"> (Exemptions) and 2021 c 196 s 6;</w:t>
      </w:r>
    </w:p>
    <w:p>
      <w:pPr>
        <w:spacing w:before="0" w:after="0" w:line="408" w:lineRule="exact"/>
        <w:ind w:left="0" w:right="0" w:firstLine="576"/>
        <w:jc w:val="left"/>
      </w:pPr>
      <w:r>
        <w:t>(6)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060</w:t>
      </w:r>
      <w:r>
        <w:rPr/>
        <w:t xml:space="preserve"> (Deductions) and 2021 c 196 s 7;</w:t>
      </w:r>
    </w:p>
    <w:p>
      <w:pPr>
        <w:spacing w:before="0" w:after="0" w:line="408" w:lineRule="exact"/>
        <w:ind w:left="0" w:right="0" w:firstLine="576"/>
        <w:jc w:val="left"/>
      </w:pPr>
      <w:r>
        <w:t>(7)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070</w:t>
      </w:r>
      <w:r>
        <w:rPr/>
        <w:t xml:space="preserve"> (Qualified family-owned small business deduction) and 2021 c 196 s 8;</w:t>
      </w:r>
    </w:p>
    <w:p>
      <w:pPr>
        <w:spacing w:before="0" w:after="0" w:line="408" w:lineRule="exact"/>
        <w:ind w:left="0" w:right="0" w:firstLine="576"/>
        <w:jc w:val="left"/>
      </w:pPr>
      <w:r>
        <w:t>(8)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080</w:t>
      </w:r>
      <w:r>
        <w:rPr/>
        <w:t xml:space="preserve"> (Charitable donation deduction) and 2021 c 196 s 9;</w:t>
      </w:r>
    </w:p>
    <w:p>
      <w:pPr>
        <w:spacing w:before="0" w:after="0" w:line="408" w:lineRule="exact"/>
        <w:ind w:left="0" w:right="0" w:firstLine="576"/>
        <w:jc w:val="left"/>
      </w:pPr>
      <w:r>
        <w:t>(9)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090</w:t>
      </w:r>
      <w:r>
        <w:rPr/>
        <w:t xml:space="preserve"> (Other taxes) and 2021 c 196 s 10;</w:t>
      </w:r>
    </w:p>
    <w:p>
      <w:pPr>
        <w:spacing w:before="0" w:after="0" w:line="408" w:lineRule="exact"/>
        <w:ind w:left="0" w:right="0" w:firstLine="576"/>
        <w:jc w:val="left"/>
      </w:pPr>
      <w:r>
        <w:t>(10)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100</w:t>
      </w:r>
      <w:r>
        <w:rPr/>
        <w:t xml:space="preserve"> (Allocation of long-term capital gains and losses</w:t>
      </w:r>
      <w:r>
        <w:rPr>
          <w:rFonts w:ascii="Times New Roman" w:hAnsi="Times New Roman"/>
        </w:rPr>
        <w:t xml:space="preserve">—</w:t>
      </w:r>
      <w:r>
        <w:rPr/>
        <w:t xml:space="preserve">Credit) and 2021 c 196 s 11;</w:t>
      </w:r>
    </w:p>
    <w:p>
      <w:pPr>
        <w:spacing w:before="0" w:after="0" w:line="408" w:lineRule="exact"/>
        <w:ind w:left="0" w:right="0" w:firstLine="576"/>
        <w:jc w:val="left"/>
      </w:pPr>
      <w:r>
        <w:t>(11)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110</w:t>
      </w:r>
      <w:r>
        <w:rPr/>
        <w:t xml:space="preserve"> (Filing of returns</w:t>
      </w:r>
      <w:r>
        <w:rPr>
          <w:rFonts w:ascii="Times New Roman" w:hAnsi="Times New Roman"/>
        </w:rPr>
        <w:t xml:space="preserve">—</w:t>
      </w:r>
      <w:r>
        <w:rPr/>
        <w:t xml:space="preserve">Additional documentation</w:t>
      </w:r>
      <w:r>
        <w:rPr>
          <w:rFonts w:ascii="Times New Roman" w:hAnsi="Times New Roman"/>
        </w:rPr>
        <w:t xml:space="preserve">—</w:t>
      </w:r>
      <w:r>
        <w:rPr/>
        <w:t xml:space="preserve">Penalty) and 2021 c 196 s 12;</w:t>
      </w:r>
    </w:p>
    <w:p>
      <w:pPr>
        <w:spacing w:before="0" w:after="0" w:line="408" w:lineRule="exact"/>
        <w:ind w:left="0" w:right="0" w:firstLine="576"/>
        <w:jc w:val="left"/>
      </w:pPr>
      <w:r>
        <w:t>(12)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120</w:t>
      </w:r>
      <w:r>
        <w:rPr/>
        <w:t xml:space="preserve"> (Joint filers</w:t>
      </w:r>
      <w:r>
        <w:rPr>
          <w:rFonts w:ascii="Times New Roman" w:hAnsi="Times New Roman"/>
        </w:rPr>
        <w:t xml:space="preserve">—</w:t>
      </w:r>
      <w:r>
        <w:rPr/>
        <w:t xml:space="preserve">Separate filers</w:t>
      </w:r>
      <w:r>
        <w:rPr>
          <w:rFonts w:ascii="Times New Roman" w:hAnsi="Times New Roman"/>
        </w:rPr>
        <w:t xml:space="preserve">—</w:t>
      </w:r>
      <w:r>
        <w:rPr/>
        <w:t xml:space="preserve">Tax liability) and 2021 c 196 s 13;</w:t>
      </w:r>
    </w:p>
    <w:p>
      <w:pPr>
        <w:spacing w:before="0" w:after="0" w:line="408" w:lineRule="exact"/>
        <w:ind w:left="0" w:right="0" w:firstLine="576"/>
        <w:jc w:val="left"/>
      </w:pPr>
      <w:r>
        <w:t>(13)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130</w:t>
      </w:r>
      <w:r>
        <w:rPr/>
        <w:t xml:space="preserve"> (Administration of taxes) and 2021 c 196 s 14;</w:t>
      </w:r>
    </w:p>
    <w:p>
      <w:pPr>
        <w:spacing w:before="0" w:after="0" w:line="408" w:lineRule="exact"/>
        <w:ind w:left="0" w:right="0" w:firstLine="576"/>
        <w:jc w:val="left"/>
      </w:pPr>
      <w:r>
        <w:t>(14)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140</w:t>
      </w:r>
      <w:r>
        <w:rPr/>
        <w:t xml:space="preserve"> (Tax criminal penalties) and 2021 c 196 s 15;</w:t>
      </w:r>
    </w:p>
    <w:p>
      <w:pPr>
        <w:spacing w:before="0" w:after="0" w:line="408" w:lineRule="exact"/>
        <w:ind w:left="0" w:right="0" w:firstLine="576"/>
        <w:jc w:val="left"/>
      </w:pPr>
      <w:r>
        <w:t>(15)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04</w:t>
      </w:r>
      <w:r>
        <w:rPr/>
        <w:t xml:space="preserve">.</w:t>
      </w:r>
      <w:r>
        <w:t xml:space="preserve">4497</w:t>
      </w:r>
      <w:r>
        <w:rPr/>
        <w:t xml:space="preserve"> (Credit</w:t>
      </w:r>
      <w:r>
        <w:rPr>
          <w:rFonts w:ascii="Times New Roman" w:hAnsi="Times New Roman"/>
        </w:rPr>
        <w:t xml:space="preserve">—</w:t>
      </w:r>
      <w:r>
        <w:rPr/>
        <w:t xml:space="preserve">Sale or exchange of long-term capital assets) and 2021 c 196 s 16;</w:t>
      </w:r>
    </w:p>
    <w:p>
      <w:pPr>
        <w:spacing w:before="0" w:after="0" w:line="408" w:lineRule="exact"/>
        <w:ind w:left="0" w:right="0" w:firstLine="576"/>
        <w:jc w:val="left"/>
      </w:pPr>
      <w:r>
        <w:t>(16)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150</w:t>
      </w:r>
      <w:r>
        <w:rPr/>
        <w:t xml:space="preserve"> (Annual adjustments) and 2021 c 196 s 17;</w:t>
      </w:r>
    </w:p>
    <w:p>
      <w:pPr>
        <w:spacing w:before="0" w:after="0" w:line="408" w:lineRule="exact"/>
        <w:ind w:left="0" w:right="0" w:firstLine="576"/>
        <w:jc w:val="left"/>
      </w:pPr>
      <w:r>
        <w:t>(17)</w:t>
      </w:r>
      <w:r>
        <w:rPr/>
        <w:t xml:space="preserve">2021 c 196 s 18 (uncodified); and</w:t>
      </w:r>
    </w:p>
    <w:p>
      <w:pPr>
        <w:spacing w:before="0" w:after="0" w:line="408" w:lineRule="exact"/>
        <w:ind w:left="0" w:right="0" w:firstLine="576"/>
        <w:jc w:val="left"/>
      </w:pPr>
      <w:r>
        <w:t>(18)</w:t>
      </w:r>
      <w:r>
        <w:rPr/>
        <w:t xml:space="preserve">2021 c 196 s 20 (uncodified).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applies retroactively to January 1, 2022, as well as prospectively.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04f40ec6c4a4869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1912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4f7a9125d54cc5" /><Relationship Type="http://schemas.openxmlformats.org/officeDocument/2006/relationships/footer" Target="/word/footer1.xml" Id="Rc04f40ec6c4a4869" /></Relationships>
</file>