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80810b874d44dc" /></Relationships>
</file>

<file path=word/document.xml><?xml version="1.0" encoding="utf-8"?>
<w:document xmlns:w="http://schemas.openxmlformats.org/wordprocessingml/2006/main">
  <w:body>
    <w:p>
      <w:r>
        <w:t>H-2011.1</w:t>
      </w:r>
    </w:p>
    <w:p>
      <w:pPr>
        <w:jc w:val="center"/>
      </w:pPr>
      <w:r>
        <w:t>_______________________________________________</w:t>
      </w:r>
    </w:p>
    <w:p/>
    <w:p>
      <w:pPr>
        <w:jc w:val="center"/>
      </w:pPr>
      <w:r>
        <w:rPr>
          <w:b/>
        </w:rPr>
        <w:t>HOUSE BILL 1927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Sullivan, Santos, Simmons, Ramel, Ormsby, and Fey</w:t>
      </w:r>
    </w:p>
    <w:p/>
    <w:p>
      <w:r>
        <w:rPr>
          <w:t xml:space="preserve">Read first time 01/12/22.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citizens to serve in the legislature by creating leave provisions for legislative service;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It is the intent of this act to address potential uncertainties that can occur between employers and employees who are part-time legislators because of the time requirements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The state, state institutions, and state agencies; and (2)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grant a temporary leave of absence without loss of job status or seniority to an employee who is a member of the state legislature in order for that employee to perform any official duty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leave. However, an employee may elect to substitute any accrued paid leave to which the employee is entitled for any part of the leave provided under this chapter.</w:t>
      </w:r>
    </w:p>
    <w:p>
      <w:pPr>
        <w:spacing w:before="0" w:after="0" w:line="408" w:lineRule="exact"/>
        <w:ind w:left="0" w:right="0" w:firstLine="576"/>
        <w:jc w:val="left"/>
      </w:pPr>
      <w:r>
        <w:rPr/>
        <w:t xml:space="preserve">(3) An employer may not discharge or threaten to discharge an employee for taking a leave of absence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seeks leave under this chapter must provide the employer with notice of the employee's intention to take leave at least 30 days before a regular legislative session.</w:t>
      </w:r>
    </w:p>
    <w:p>
      <w:pPr>
        <w:spacing w:before="0" w:after="0" w:line="408" w:lineRule="exact"/>
        <w:ind w:left="0" w:right="0" w:firstLine="576"/>
        <w:jc w:val="left"/>
      </w:pPr>
      <w:r>
        <w:rPr/>
        <w:t xml:space="preserve">(2) When a special legislative session is called, the employee must provide notice to the employer as soon as the governor or legislature proclaims the special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employer violates the provisions of this chapter, the employee may only bring a civil action, at his or her own expense, in superior court for an order requiring the reinstatement of the employee. Public resources may not be used, directly or indirectly, to bring or maintain a civil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49 RCW.</w:t>
      </w:r>
    </w:p>
    <w:p/>
    <w:p>
      <w:pPr>
        <w:jc w:val="center"/>
      </w:pPr>
      <w:r>
        <w:rPr>
          <w:b/>
        </w:rPr>
        <w:t>--- END ---</w:t>
      </w:r>
    </w:p>
    <w:sectPr>
      <w:pgNumType w:start="1"/>
      <w:footerReference xmlns:r="http://schemas.openxmlformats.org/officeDocument/2006/relationships" r:id="R4d290835e9a24d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daad330e634925" /><Relationship Type="http://schemas.openxmlformats.org/officeDocument/2006/relationships/footer" Target="/word/footer1.xml" Id="R4d290835e9a24d41" /></Relationships>
</file>