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356299148841b3" /></Relationships>
</file>

<file path=word/document.xml><?xml version="1.0" encoding="utf-8"?>
<w:document xmlns:w="http://schemas.openxmlformats.org/wordprocessingml/2006/main">
  <w:body>
    <w:p>
      <w:r>
        <w:t>H-2075.1</w:t>
      </w:r>
    </w:p>
    <w:p>
      <w:pPr>
        <w:jc w:val="center"/>
      </w:pPr>
      <w:r>
        <w:t>_______________________________________________</w:t>
      </w:r>
    </w:p>
    <w:p/>
    <w:p>
      <w:pPr>
        <w:jc w:val="center"/>
      </w:pPr>
      <w:r>
        <w:rPr>
          <w:b/>
        </w:rPr>
        <w:t>HOUSE BILL 1949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Caldier</w:t>
      </w:r>
    </w:p>
    <w:p/>
    <w:p>
      <w:r>
        <w:rPr>
          <w:t xml:space="preserve">Read first time 01/12/22.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prioritization of higher education capital projects; amending RCW 28B.77.070, 43.88D.010, and 28C.18.060; adding a new section to chapter 43.88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provision of health care and behavioral health services to citizens of the state of Washington is of critical importance. The legislature further finds that major capital project requests from the four-year institutions of higher education have been insufficient to support the industry demand for the highly trained professionals that are needed to provide these crucial services. Therefore, the legislature intends to require that the major capital project appropriation requests submitted by the four-year institutions of higher education and the governor prioritize projects that directly support additional enrollments in degree programs related to the provision of health care or behavioral health services in occupations with current or projected shortages.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Omnibus capital appropriations act requests for major capital projects submitted by the governor under RCW 43.88.060 and the four-year institutions of higher education must prioritize projects that directly support additional enrollments in degree programs related to the provision of health care or behavioral health services in occupations with current or projected labor shortages as determined by the workforce training and education coordinating board created under chapter 28C.18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2021 c 332 s 7044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w:t>
      </w:r>
      <w:r>
        <w:t>((</w:t>
      </w:r>
      <w:r>
        <w:rPr>
          <w:strike/>
        </w:rPr>
        <w:t xml:space="preserve">and</w:t>
      </w:r>
      <w:r>
        <w:t>))</w:t>
      </w:r>
      <w:r>
        <w:rPr/>
        <w:t xml:space="preserve"> the amount and fund source being requested</w:t>
      </w:r>
      <w:r>
        <w:rPr>
          <w:u w:val="single"/>
        </w:rPr>
        <w:t xml:space="preserve">; and until July 1, 2032, a description and quantification of the extent to which the major projects requested will directly support additional enrollments in degree programs related to the provision of health care or behavioral health services in occupations with current or projected shortages as determined by the workforce training and education coordinating board created under chapter 28C.18 RCW.</w:t>
      </w:r>
    </w:p>
    <w:p>
      <w:pPr>
        <w:spacing w:before="0" w:after="0" w:line="408" w:lineRule="exact"/>
        <w:ind w:left="0" w:right="0" w:firstLine="576"/>
        <w:jc w:val="left"/>
      </w:pPr>
      <w:r>
        <w:rPr>
          <w:u w:val="single"/>
        </w:rPr>
        <w:t xml:space="preserve">(c) Until July 1, 2032, prioritized outlines submitted to the office of financial management for four-year institutions in this subsection (2) must prioritize major capital projects that will directly support additional enrollments in degree programs related to the provision of health care or behavioral health services in occupations with current or projected labor shortages as determined by the workforce training and education coordinating board created under chapter 28C.18 RCW</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2019-2021 fiscal biennium and the 2021-2023 fiscal biennium,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w:t>
      </w:r>
      <w:r>
        <w:t>((</w:t>
      </w:r>
      <w:r>
        <w:rPr>
          <w:strike/>
        </w:rPr>
        <w:t xml:space="preserve">take</w:t>
      </w:r>
      <w:r>
        <w:t>))</w:t>
      </w:r>
      <w:r>
        <w:rPr>
          <w:u w:val="single"/>
        </w:rPr>
        <w:t xml:space="preserve">: (a) Take</w:t>
      </w:r>
      <w:r>
        <w:rPr/>
        <w:t xml:space="preserve"> into consideration project schedules that result in realistic, balanced, and predictable expenditure patterns over the ensuing three biennia</w:t>
      </w:r>
      <w:r>
        <w:rPr>
          <w:u w:val="single"/>
        </w:rPr>
        <w:t xml:space="preserve">; and (b) until July 1, 2032, prioritize major capital projects pursuant to this section that will directly support additional enrollments in degree programs related to the provision of health care or behavioral health services in occupations with current or projected labor shortages as determined by the workforce training and education coordinating board created under chapter 28C.18 RCW</w:t>
      </w:r>
      <w:r>
        <w:rPr/>
        <w:t xml:space="preserve">.</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2019-2021 fiscal biennium and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2019-2021 fiscal biennium and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2019 c 406 s 61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Ensure that the expansion of K-12 and postsecondary opportunities for career connected learning and work-integrated learning, as those terms are defined in RCW 28C.30.020, is incorporated into the state plan adopted for the purposes of the Carl D. Perkins career and technical education improvement act, P.L. 109-270;</w:t>
      </w:r>
    </w:p>
    <w:p>
      <w:pPr>
        <w:spacing w:before="0" w:after="0" w:line="408" w:lineRule="exact"/>
        <w:ind w:left="0" w:right="0" w:firstLine="576"/>
        <w:jc w:val="left"/>
      </w:pPr>
      <w:r>
        <w:rPr/>
        <w:t xml:space="preserve">(18)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rPr/>
        <w:t xml:space="preserve">(19) Establish and administer programs for marketing and outreach to businesses and potential program participants;</w:t>
      </w:r>
    </w:p>
    <w:p>
      <w:pPr>
        <w:spacing w:before="0" w:after="0" w:line="408" w:lineRule="exact"/>
        <w:ind w:left="0" w:right="0" w:firstLine="576"/>
        <w:jc w:val="left"/>
      </w:pPr>
      <w:r>
        <w:rPr/>
        <w:t xml:space="preserve">(20)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rPr/>
        <w:t xml:space="preserve">(21)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rPr/>
        <w:t xml:space="preserve">(22)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rPr/>
        <w:t xml:space="preserve">(23)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rPr/>
        <w:t xml:space="preserve">(24)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rPr/>
        <w:t xml:space="preserve">(25)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rPr/>
        <w:t xml:space="preserve">(26) Administer veterans' programs, licensure of private vocational schools, the job skills program, and the Washington award for vocational excellence;</w:t>
      </w:r>
    </w:p>
    <w:p>
      <w:pPr>
        <w:spacing w:before="0" w:after="0" w:line="408" w:lineRule="exact"/>
        <w:ind w:left="0" w:right="0" w:firstLine="576"/>
        <w:jc w:val="left"/>
      </w:pPr>
      <w:r>
        <w:rPr/>
        <w:t xml:space="preserve">(27) Allocate funding from the state job training trust fund;</w:t>
      </w:r>
    </w:p>
    <w:p>
      <w:pPr>
        <w:spacing w:before="0" w:after="0" w:line="408" w:lineRule="exact"/>
        <w:ind w:left="0" w:right="0" w:firstLine="576"/>
        <w:jc w:val="left"/>
      </w:pPr>
      <w:r>
        <w:rPr/>
        <w:t xml:space="preserve">(28)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rPr/>
        <w:t xml:space="preserve">(29)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rPr/>
        <w:t xml:space="preserve">(30) </w:t>
      </w:r>
      <w:r>
        <w:rPr>
          <w:u w:val="single"/>
        </w:rPr>
        <w:t xml:space="preserve">Until July 1, 2032, provide information on health care and behavioral health occupations with current or projected labor shortages to the office of financial management, the four-year institutions of higher education, and the board created under this chapter;</w:t>
      </w:r>
    </w:p>
    <w:p>
      <w:pPr>
        <w:spacing w:before="0" w:after="0" w:line="408" w:lineRule="exact"/>
        <w:ind w:left="0" w:right="0" w:firstLine="576"/>
        <w:jc w:val="left"/>
      </w:pPr>
      <w:r>
        <w:rPr>
          <w:u w:val="single"/>
        </w:rPr>
        <w:t xml:space="preserve">(31)</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2032.</w:t>
      </w:r>
    </w:p>
    <w:p/>
    <w:p>
      <w:pPr>
        <w:jc w:val="center"/>
      </w:pPr>
      <w:r>
        <w:rPr>
          <w:b/>
        </w:rPr>
        <w:t>--- END ---</w:t>
      </w:r>
    </w:p>
    <w:sectPr>
      <w:pgNumType w:start="1"/>
      <w:footerReference xmlns:r="http://schemas.openxmlformats.org/officeDocument/2006/relationships" r:id="Rac07d53fa56147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633061cb94c9b" /><Relationship Type="http://schemas.openxmlformats.org/officeDocument/2006/relationships/footer" Target="/word/footer1.xml" Id="Rac07d53fa56147d7" /></Relationships>
</file>