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55d51f734f4809" /></Relationships>
</file>

<file path=word/document.xml><?xml version="1.0" encoding="utf-8"?>
<w:document xmlns:w="http://schemas.openxmlformats.org/wordprocessingml/2006/main">
  <w:body>
    <w:p>
      <w:r>
        <w:t>H-2133.2</w:t>
      </w:r>
    </w:p>
    <w:p>
      <w:pPr>
        <w:jc w:val="center"/>
      </w:pPr>
      <w:r>
        <w:t>_______________________________________________</w:t>
      </w:r>
    </w:p>
    <w:p/>
    <w:p>
      <w:pPr>
        <w:jc w:val="center"/>
      </w:pPr>
      <w:r>
        <w:rPr>
          <w:b/>
        </w:rPr>
        <w:t>HOUSE BILL 2009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Berry, Peterson, Ramel, Ryu, Macri, Bateman, Hackney, Ormsby, Frame, and Pollet</w:t>
      </w:r>
    </w:p>
    <w:p/>
    <w:p>
      <w:r>
        <w:rPr>
          <w:t xml:space="preserve">Read first time 01/17/22.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evergreen basic income trust; amending RCW 74.04.005, 43.185C.220, and 43.216.1368; reenacting and amending RCW 10.101.010; adding a new section to chapter 74.04 RCW; adding a new section to chapter 43.216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economic inequality continues to widen the gap between the top few earners and working and low-income families. The legislature recognizes that wages have failed to keep pace with the cost of living. The legislature finds that centuries of discriminatory policies have resulted especially in black and African American, American Indian and Alaskan Native, Hispanic or Latinx, and other households of color having significantly lower median incomes than white and Asian households. </w:t>
      </w:r>
    </w:p>
    <w:p>
      <w:pPr>
        <w:spacing w:before="0" w:after="0" w:line="408" w:lineRule="exact"/>
        <w:ind w:left="0" w:right="0" w:firstLine="576"/>
        <w:jc w:val="left"/>
      </w:pPr>
      <w:r>
        <w:rPr/>
        <w:t xml:space="preserve">The legislature declares that all Washington households deserve basic financial security and that it is the goal of the state of Washington to ensure economic sustainability for all families. The legislature finds that direct cash assistance is one of the most effective ways to increase financial stability among people and families struggling to cover essential expenses. The legislature finds that flexible cash assistance allows recipients to choose how to allocate funds in order to best care for themselves and meet the particular needs of their families.</w:t>
      </w:r>
    </w:p>
    <w:p>
      <w:pPr>
        <w:spacing w:before="0" w:after="0" w:line="408" w:lineRule="exact"/>
        <w:ind w:left="0" w:right="0" w:firstLine="576"/>
        <w:jc w:val="left"/>
      </w:pPr>
      <w:r>
        <w:rPr/>
        <w:t xml:space="preserve">The legislature recognizes that direct cash assistance is a policy solution that will advance racial wealth equity and has been promoted by black leaders for many decades, including Martin Luther King Jr., the black panther party, and the national welfare rights organization. In addition, the legislature finds that a substantial body of evidence suggests that direct cash assistance reduces poverty, increases economic mobility, and improves health and well-being.</w:t>
      </w:r>
    </w:p>
    <w:p>
      <w:pPr>
        <w:spacing w:before="0" w:after="0" w:line="408" w:lineRule="exact"/>
        <w:ind w:left="0" w:right="0" w:firstLine="576"/>
        <w:jc w:val="left"/>
      </w:pPr>
      <w:r>
        <w:rPr/>
        <w:t xml:space="preserve">The legislature finds that communities are leading local guaranteed basic income pilot projects across Washington state, and that the Washington state department of social and health services is currently completing a feasibility study jointly with the poverty reduction work group and a steering committee of people and communities historically excluded from social and economic well-being on a statewide universal basic income pilot program.</w:t>
      </w:r>
    </w:p>
    <w:p>
      <w:pPr>
        <w:spacing w:before="0" w:after="0" w:line="408" w:lineRule="exact"/>
        <w:ind w:left="0" w:right="0" w:firstLine="576"/>
        <w:jc w:val="left"/>
      </w:pPr>
      <w:r>
        <w:rPr/>
        <w:t xml:space="preserve">The legislature intends to advance a statewide guaranteed basic income program that builds on the experience of locally based, community driven pilot programs and the statewide feasibility study.</w:t>
      </w:r>
    </w:p>
    <w:p>
      <w:pPr>
        <w:spacing w:before="0" w:after="0" w:line="408" w:lineRule="exact"/>
        <w:ind w:left="0" w:right="0" w:firstLine="576"/>
        <w:jc w:val="left"/>
      </w:pPr>
      <w:r>
        <w:rPr/>
        <w:t xml:space="preserve">The legislature further intends that income received from this and other basic income programs not impact eligibility for other benefits like food assistance or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evergreen basic income trust is created within the department.</w:t>
      </w:r>
    </w:p>
    <w:p>
      <w:pPr>
        <w:spacing w:before="0" w:after="0" w:line="408" w:lineRule="exact"/>
        <w:ind w:left="0" w:right="0" w:firstLine="576"/>
        <w:jc w:val="left"/>
      </w:pPr>
      <w:r>
        <w:rPr/>
        <w:t xml:space="preserve">(2) The trust shall provide a monthly payment for 36 months to persons who:</w:t>
      </w:r>
    </w:p>
    <w:p>
      <w:pPr>
        <w:spacing w:before="0" w:after="0" w:line="408" w:lineRule="exact"/>
        <w:ind w:left="0" w:right="0" w:firstLine="576"/>
        <w:jc w:val="left"/>
      </w:pPr>
      <w:r>
        <w:rPr/>
        <w:t xml:space="preserve">(a) Are at least 18 years of age;</w:t>
      </w:r>
    </w:p>
    <w:p>
      <w:pPr>
        <w:spacing w:before="0" w:after="0" w:line="408" w:lineRule="exact"/>
        <w:ind w:left="0" w:right="0" w:firstLine="576"/>
        <w:jc w:val="left"/>
      </w:pPr>
      <w:r>
        <w:rPr/>
        <w:t xml:space="preserve">(b) Are a resident of Washington state;</w:t>
      </w:r>
    </w:p>
    <w:p>
      <w:pPr>
        <w:spacing w:before="0" w:after="0" w:line="408" w:lineRule="exact"/>
        <w:ind w:left="0" w:right="0" w:firstLine="576"/>
        <w:jc w:val="left"/>
      </w:pPr>
      <w:r>
        <w:rPr/>
        <w:t xml:space="preserve">(c) Have reported gross income that does not exceed 50 percent of area median income, as determined by the United States department of housing and urban development's annually adjusted home income limits or a substantially similar amount determined by the department; and</w:t>
      </w:r>
    </w:p>
    <w:p>
      <w:pPr>
        <w:spacing w:before="0" w:after="0" w:line="408" w:lineRule="exact"/>
        <w:ind w:left="0" w:right="0" w:firstLine="576"/>
        <w:jc w:val="left"/>
      </w:pPr>
      <w:r>
        <w:rPr/>
        <w:t xml:space="preserve">(d) Have submitted an evergreen basic income trust application to the department, in a form and manner determined by the department in collaboration with the poverty reduction work group and a steering committee of people and communities historically excluded from social and economic well-being.</w:t>
      </w:r>
    </w:p>
    <w:p>
      <w:pPr>
        <w:spacing w:before="0" w:after="0" w:line="408" w:lineRule="exact"/>
        <w:ind w:left="0" w:right="0" w:firstLine="576"/>
        <w:jc w:val="left"/>
      </w:pPr>
      <w:r>
        <w:rPr/>
        <w:t xml:space="preserve">(3) The department shall make an eligibility determination within 45 days of receipt of a complete application.</w:t>
      </w:r>
    </w:p>
    <w:p>
      <w:pPr>
        <w:spacing w:before="0" w:after="0" w:line="408" w:lineRule="exact"/>
        <w:ind w:left="0" w:right="0" w:firstLine="576"/>
        <w:jc w:val="left"/>
      </w:pPr>
      <w:r>
        <w:rPr/>
        <w:t xml:space="preserve">(4) For the purpose of the trust, the cash assistance provided may not impact eligibility for other income or means tested programs including, but not limited to: The Washington basic food program, as provided for in rule; the aged, blind, or disabled cash assistance program, as provided for in RCW 74.62.030; the essential needs and housing support program, as provided for in RCW 43.185C.220; temporary assistance for needy families, as provided for in RCW 74.08.025; indigent defense services, as provided for in RCW 10.101.010; the working connections child care program, as provided for in RCW 43.216.136; and the early childhood education and assistance program as provided for in RCW 43.216.510.</w:t>
      </w:r>
    </w:p>
    <w:p>
      <w:pPr>
        <w:spacing w:before="0" w:after="0" w:line="408" w:lineRule="exact"/>
        <w:ind w:left="0" w:right="0" w:firstLine="576"/>
        <w:jc w:val="left"/>
      </w:pPr>
      <w:r>
        <w:rPr/>
        <w:t xml:space="preserve">(5) Beginning January 1, 2023, the department shall:</w:t>
      </w:r>
    </w:p>
    <w:p>
      <w:pPr>
        <w:spacing w:before="0" w:after="0" w:line="408" w:lineRule="exact"/>
        <w:ind w:left="0" w:right="0" w:firstLine="576"/>
        <w:jc w:val="left"/>
      </w:pPr>
      <w:r>
        <w:rPr/>
        <w:t xml:space="preserve">(a) Provide monthly cash assistance equal to the fair market rent for a two bedroom home in the zip code in which the eligible individual resides, or a substantially similar amount as determined by the department, for 36 months;</w:t>
      </w:r>
    </w:p>
    <w:p>
      <w:pPr>
        <w:spacing w:before="0" w:after="0" w:line="408" w:lineRule="exact"/>
        <w:ind w:left="0" w:right="0" w:firstLine="576"/>
        <w:jc w:val="left"/>
      </w:pPr>
      <w:r>
        <w:rPr/>
        <w:t xml:space="preserve">(b) Prioritize outreach and enrollment efforts to lowest income households and other key populations, such as young adults who have aged out of foster care, young adults experiencing homelessness, and adults who were formerly incarcerated;</w:t>
      </w:r>
    </w:p>
    <w:p>
      <w:pPr>
        <w:spacing w:before="0" w:after="0" w:line="408" w:lineRule="exact"/>
        <w:ind w:left="0" w:right="0" w:firstLine="576"/>
        <w:jc w:val="left"/>
      </w:pPr>
      <w:r>
        <w:rPr/>
        <w:t xml:space="preserve">(c) Work with and provide financial support for community-based organizations to support outreach and enrollment, especially to communities who are harder to reach, such as people experiencing homelessness, rural communities, and immigrant and refugee communities;</w:t>
      </w:r>
    </w:p>
    <w:p>
      <w:pPr>
        <w:spacing w:before="0" w:after="0" w:line="408" w:lineRule="exact"/>
        <w:ind w:left="0" w:right="0" w:firstLine="576"/>
        <w:jc w:val="left"/>
      </w:pPr>
      <w:r>
        <w:rPr/>
        <w:t xml:space="preserve">(d) Prioritize 12-month continuous eligibility, automatic enrollment whenever possible, and integration with other public benefits;</w:t>
      </w:r>
    </w:p>
    <w:p>
      <w:pPr>
        <w:spacing w:before="0" w:after="0" w:line="408" w:lineRule="exact"/>
        <w:ind w:left="0" w:right="0" w:firstLine="576"/>
        <w:jc w:val="left"/>
      </w:pPr>
      <w:r>
        <w:rPr/>
        <w:t xml:space="preserve">(e) Track information on who is receiving basic income from the trust by age, ethnicity, gender, household size, housing status, and race; and</w:t>
      </w:r>
    </w:p>
    <w:p>
      <w:pPr>
        <w:spacing w:before="0" w:after="0" w:line="408" w:lineRule="exact"/>
        <w:ind w:left="0" w:right="0" w:firstLine="576"/>
        <w:jc w:val="left"/>
      </w:pPr>
      <w:r>
        <w:rPr/>
        <w:t xml:space="preserve">(f) By November 1, 2023, submit a report to the appropriate committees of the legislature. The report shall include outcomes of the trust, including information on who is being served by age, ethnicity, gender, household size, housing status, race, and other metrics developed in collaboration with the poverty reduction work group and a steering committee of people and communities historically excluded from social and economic well-being.</w:t>
      </w:r>
    </w:p>
    <w:p>
      <w:pPr>
        <w:spacing w:before="0" w:after="0" w:line="408" w:lineRule="exact"/>
        <w:ind w:left="0" w:right="0" w:firstLine="576"/>
        <w:jc w:val="left"/>
      </w:pPr>
      <w:r>
        <w:rPr/>
        <w:t xml:space="preserve">(6) The department shall consult with the poverty reduction work group and a steering committee of people and communities historically excluded from social and economic well-being for feedback on equitable and effective implementation of the evergreen basic income trust, including the enrollment forms, community-based outreach efforts, appeals process, and program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010</w:t>
      </w:r>
      <w:r>
        <w:rPr/>
        <w:t xml:space="preserve"> and 2011 1st sp.s. c 36 s 12 are each reenacted and amended to read as follows:</w:t>
      </w:r>
    </w:p>
    <w:p>
      <w:pPr>
        <w:spacing w:before="0" w:after="0" w:line="408" w:lineRule="exact"/>
        <w:ind w:left="0" w:right="0" w:firstLine="576"/>
        <w:jc w:val="left"/>
      </w:pPr>
      <w:r>
        <w:rPr/>
        <w:t xml:space="preserve">The following definitions shall be applied in connection with this chapter:</w:t>
      </w:r>
    </w:p>
    <w:p>
      <w:pPr>
        <w:spacing w:before="0" w:after="0" w:line="408" w:lineRule="exact"/>
        <w:ind w:left="0" w:right="0" w:firstLine="576"/>
        <w:jc w:val="left"/>
      </w:pPr>
      <w:r>
        <w:rPr/>
        <w:t xml:space="preserve">(1) "Anticipated cost of counsel" means the cost of retaining private counsel for representation on the matter before the court.</w:t>
      </w:r>
    </w:p>
    <w:p>
      <w:pPr>
        <w:spacing w:before="0" w:after="0" w:line="408" w:lineRule="exact"/>
        <w:ind w:left="0" w:right="0" w:firstLine="576"/>
        <w:jc w:val="left"/>
      </w:pPr>
      <w:r>
        <w:rPr/>
        <w:t xml:space="preserve">(2) "Available funds" means liquid assets and disposable net monthly income calculated after provision is made for bail obligations. For the purpose of determining available funds, the following definitions shall apply:</w:t>
      </w:r>
    </w:p>
    <w:p>
      <w:pPr>
        <w:spacing w:before="0" w:after="0" w:line="408" w:lineRule="exact"/>
        <w:ind w:left="0" w:right="0" w:firstLine="576"/>
        <w:jc w:val="left"/>
      </w:pPr>
      <w:r>
        <w:rPr/>
        <w:t xml:space="preserve">(a) "Liquid assets" means cash, savings accounts, bank accounts, stocks, bonds, certificates of deposit, equity in real estate, and equity in motor vehicles. A motor vehicle necessary to maintain employment and having a market value not greater than three thousand dollars shall not be considered a liquid asset.</w:t>
      </w:r>
    </w:p>
    <w:p>
      <w:pPr>
        <w:spacing w:before="0" w:after="0" w:line="408" w:lineRule="exact"/>
        <w:ind w:left="0" w:right="0" w:firstLine="576"/>
        <w:jc w:val="left"/>
      </w:pPr>
      <w:r>
        <w:rPr/>
        <w:t xml:space="preserve">(b) "Income" means salary, wages, interest, dividends, and other earnings which are reportable for federal income tax purposes, and cash payments such as reimbursements received from pensions, annuities, social security, and public assistance programs. It includes any contribution received from any family member or other person who is domiciled in the same residence as the defendant and who is helping to defray the defendant's basic living costs.</w:t>
      </w:r>
    </w:p>
    <w:p>
      <w:pPr>
        <w:spacing w:before="0" w:after="0" w:line="408" w:lineRule="exact"/>
        <w:ind w:left="0" w:right="0" w:firstLine="576"/>
        <w:jc w:val="left"/>
      </w:pPr>
      <w:r>
        <w:rPr/>
        <w:t xml:space="preserve">(c) "Disposable net monthly income" means the income remaining each month after deducting federal, state, or local income taxes, social security taxes, contributory retirement, union dues, and basic living costs.</w:t>
      </w:r>
    </w:p>
    <w:p>
      <w:pPr>
        <w:spacing w:before="0" w:after="0" w:line="408" w:lineRule="exact"/>
        <w:ind w:left="0" w:right="0" w:firstLine="576"/>
        <w:jc w:val="left"/>
      </w:pPr>
      <w:r>
        <w:rPr/>
        <w:t xml:space="preserve">(d) "Basic living costs" means the average monthly amount spent by the defendant for reasonable payments toward living costs, such as shelter, food, utilities, health care, transportation, clothing, loan payments, support payments, and court-imposed obligations.</w:t>
      </w:r>
    </w:p>
    <w:p>
      <w:pPr>
        <w:spacing w:before="0" w:after="0" w:line="408" w:lineRule="exact"/>
        <w:ind w:left="0" w:right="0" w:firstLine="576"/>
        <w:jc w:val="left"/>
      </w:pPr>
      <w:r>
        <w:rPr/>
        <w:t xml:space="preserve">(3)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w:t>
      </w:r>
      <w:r>
        <w:rPr>
          <w:u w:val="single"/>
        </w:rPr>
        <w:t xml:space="preserve">, or cash assistance from the evergreen basic income trust as provided for in section 2 of this act</w:t>
      </w:r>
      <w:r>
        <w:rPr/>
        <w:t xml:space="preserv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current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(4) "Indigent and able to contribute" means a person who, at any stage of a court proceeding, is unable to pay the anticipated cost of counsel for the matter before the court because his or her available funds are less than the anticipated cost of counsel but sufficient for the person to pay a portion of that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 </w:t>
      </w:r>
      <w:r>
        <w:rPr>
          <w:u w:val="single"/>
        </w:rPr>
        <w:t xml:space="preserve">Furthermore, any cash assistance a person receives from the evergreen basic income trust as provided for in section 2 of this act or any guaranteed basic income program operated by a government or private entity may not be considered in determining a person's initial or ongoing eligibility for public assistance.</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twenty-one years of age, a victim's parents and unmarried siblings under the age of eighteen.</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(3)(a) During the 2011</w:t>
      </w:r>
      <w:r>
        <w:rPr/>
        <w:noBreakHyphen/>
      </w:r>
      <w:r>
        <w:rPr/>
        <w:t xml:space="preserve">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0" w:after="0" w:line="408" w:lineRule="exact"/>
        <w:ind w:left="0" w:right="0" w:firstLine="576"/>
        <w:jc w:val="left"/>
      </w:pPr>
      <w:r>
        <w:rPr>
          <w:u w:val="single"/>
        </w:rPr>
        <w:t xml:space="preserve">(9) Eligible recipients of cash assistance from the evergreen basic income trust, as provided for in section 2 of this act, are eligible for assistance through the essential needs and housing support program.</w:t>
      </w:r>
    </w:p>
    <w:p>
      <w:pPr>
        <w:spacing w:before="0" w:after="0" w:line="408" w:lineRule="exact"/>
        <w:ind w:left="0" w:right="0" w:firstLine="576"/>
        <w:jc w:val="left"/>
      </w:pPr>
      <w:r>
        <w:rPr>
          <w:u w:val="single"/>
        </w:rPr>
        <w:t xml:space="preserve">(a) Any cash assistance a person receives from the evergreen basic income trust under section 2 of this act or any guaranteed basic income program operated by a government or private entity may not be considered in determining a person's initial or ongoing eligibility for the essential needs and housing support program.</w:t>
      </w:r>
    </w:p>
    <w:p>
      <w:pPr>
        <w:spacing w:before="0" w:after="0" w:line="408" w:lineRule="exact"/>
        <w:ind w:left="0" w:right="0" w:firstLine="576"/>
        <w:jc w:val="left"/>
      </w:pPr>
      <w:r>
        <w:rPr>
          <w:u w:val="single"/>
        </w:rPr>
        <w:t xml:space="preserve">(b) The department shall coordinate with the department of social and health services to ensure that eligible recipients of the evergreen basic income trust have access to benefits through the essential needs and housing support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2021 c 199 s 201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July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0" w:after="0" w:line="408" w:lineRule="exact"/>
        <w:ind w:left="0" w:right="0" w:firstLine="576"/>
        <w:jc w:val="left"/>
      </w:pPr>
      <w:r>
        <w:rPr>
          <w:u w:val="single"/>
        </w:rPr>
        <w:t xml:space="preserve">(7) For the working connections child care program, the department may not consider any cash assistance a person receives from the evergreen basic income trust as provided for in section 2 of this act or any guaranteed basic income program operated by a government or private entity in determining a person's initial or ongoing eligibility or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For the early childhood education and assistance program, the department may not consider any cash assistance a person receives from the evergreen basic income trust as provided for in section 2 of this act or any guaranteed basic income program operated by a government or private entity in determining family income or a child's eligibility.</w:t>
      </w:r>
    </w:p>
    <w:p/>
    <w:p>
      <w:pPr>
        <w:jc w:val="center"/>
      </w:pPr>
      <w:r>
        <w:rPr>
          <w:b/>
        </w:rPr>
        <w:t>--- END ---</w:t>
      </w:r>
    </w:p>
    <w:sectPr>
      <w:pgNumType w:start="1"/>
      <w:footerReference xmlns:r="http://schemas.openxmlformats.org/officeDocument/2006/relationships" r:id="R2aff2e43158049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9ef2b229d54f4a" /><Relationship Type="http://schemas.openxmlformats.org/officeDocument/2006/relationships/footer" Target="/word/footer1.xml" Id="R2aff2e4315804953" /></Relationships>
</file>